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86326889"/>
    <w:p w14:paraId="5B051514" w14:textId="2A5B314E" w:rsidR="00343763" w:rsidRDefault="00343763" w:rsidP="007A3712">
      <w:pPr>
        <w:pStyle w:val="Ttulo"/>
      </w:pPr>
      <w:r>
        <w:rPr>
          <w:noProof/>
        </w:rPr>
        <mc:AlternateContent>
          <mc:Choice Requires="wps">
            <w:drawing>
              <wp:anchor distT="0" distB="0" distL="114300" distR="114300" simplePos="0" relativeHeight="251659264" behindDoc="0" locked="0" layoutInCell="1" allowOverlap="1" wp14:anchorId="33BF7AF9" wp14:editId="461EAC26">
                <wp:simplePos x="0" y="0"/>
                <wp:positionH relativeFrom="column">
                  <wp:posOffset>-149877</wp:posOffset>
                </wp:positionH>
                <wp:positionV relativeFrom="paragraph">
                  <wp:posOffset>-29188</wp:posOffset>
                </wp:positionV>
                <wp:extent cx="0" cy="10201110"/>
                <wp:effectExtent l="0" t="0" r="38100" b="29210"/>
                <wp:wrapNone/>
                <wp:docPr id="3" name="Conector recto 3"/>
                <wp:cNvGraphicFramePr/>
                <a:graphic xmlns:a="http://schemas.openxmlformats.org/drawingml/2006/main">
                  <a:graphicData uri="http://schemas.microsoft.com/office/word/2010/wordprocessingShape">
                    <wps:wsp>
                      <wps:cNvCnPr/>
                      <wps:spPr>
                        <a:xfrm>
                          <a:off x="0" y="0"/>
                          <a:ext cx="0" cy="10201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71DDD0" id="Conector recto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pt,-2.3pt" to="-11.8pt,8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" strokecolor="black [3200]" strokeweight=".5pt">
                <v:stroke joinstyle="miter"/>
              </v:line>
            </w:pict>
          </mc:Fallback>
        </mc:AlternateContent>
      </w:r>
    </w:p>
    <w:p w14:paraId="6B71C7E4" w14:textId="7F98F77B" w:rsidR="007937E9" w:rsidRDefault="007937E9" w:rsidP="007A3712">
      <w:pPr>
        <w:pStyle w:val="Ttulo"/>
      </w:pPr>
    </w:p>
    <w:p w14:paraId="0B18ED2A" w14:textId="06224305" w:rsidR="004917EF" w:rsidRPr="007A3712" w:rsidRDefault="00495EA4" w:rsidP="007A3712">
      <w:pPr>
        <w:pStyle w:val="Ttulo"/>
      </w:pPr>
      <w:r w:rsidRPr="007A3712">
        <w:t>A</w:t>
      </w:r>
      <w:r w:rsidR="003B3F69">
        <w:t>NEXO</w:t>
      </w:r>
      <w:r w:rsidRPr="007A3712">
        <w:t xml:space="preserve"> 15: METODOLOGÍA </w:t>
      </w:r>
      <w:r w:rsidR="00484EE5" w:rsidRPr="007A3712">
        <w:t>EST</w:t>
      </w:r>
      <w:r w:rsidR="008759B8">
        <w:t>Á</w:t>
      </w:r>
      <w:r w:rsidR="00484EE5" w:rsidRPr="007A3712">
        <w:t>NDAR PARA DETERMINAR</w:t>
      </w:r>
      <w:r w:rsidR="003B427D" w:rsidRPr="007A3712">
        <w:t xml:space="preserve"> </w:t>
      </w:r>
      <w:r w:rsidR="00484EE5" w:rsidRPr="007A3712">
        <w:t>EL RIESGO DE TASA DE INTERÉS DEL LIBRO BANCARIO</w:t>
      </w:r>
    </w:p>
    <w:p w14:paraId="4F107A06" w14:textId="38FEC83F" w:rsidR="00480603" w:rsidRDefault="00480603" w:rsidP="00A75EBC">
      <w:bookmarkStart w:id="1" w:name="_Toc502666413"/>
      <w:bookmarkStart w:id="2" w:name="_Toc502666414"/>
      <w:bookmarkEnd w:id="1"/>
      <w:bookmarkEnd w:id="2"/>
    </w:p>
    <w:p w14:paraId="2154E9D0" w14:textId="77777777" w:rsidR="001921BE" w:rsidRDefault="001921BE" w:rsidP="00A75EBC"/>
    <w:p w14:paraId="2973B934" w14:textId="1F322FF0" w:rsidR="004917EF" w:rsidRDefault="004917EF" w:rsidP="00B81B30">
      <w:pPr>
        <w:pStyle w:val="Ttulo1"/>
        <w:numPr>
          <w:ilvl w:val="0"/>
          <w:numId w:val="14"/>
        </w:numPr>
      </w:pPr>
      <w:bookmarkStart w:id="3" w:name="_Toc89764109"/>
      <w:bookmarkStart w:id="4" w:name="_Toc83387363"/>
      <w:bookmarkStart w:id="5" w:name="_Toc85033768"/>
      <w:r>
        <w:t>Reglas relativas</w:t>
      </w:r>
      <w:r w:rsidR="00D86DCB">
        <w:t xml:space="preserve"> a la aplicación </w:t>
      </w:r>
      <w:r w:rsidR="00B34CD6">
        <w:t xml:space="preserve">de la metodología </w:t>
      </w:r>
      <w:r w:rsidR="00E53C55">
        <w:t>estándar</w:t>
      </w:r>
      <w:bookmarkEnd w:id="3"/>
    </w:p>
    <w:p w14:paraId="712FE623" w14:textId="6365C707" w:rsidR="00E53C55" w:rsidRPr="008A60E4" w:rsidRDefault="00E53C55" w:rsidP="007C7798">
      <w:pPr>
        <w:pStyle w:val="Sinespaciado"/>
      </w:pPr>
    </w:p>
    <w:bookmarkEnd w:id="4"/>
    <w:bookmarkEnd w:id="5"/>
    <w:p w14:paraId="1F96FA46" w14:textId="7297B100" w:rsidR="0013655E" w:rsidRDefault="008E4F25" w:rsidP="00A75EBC">
      <w:r w:rsidRPr="008E4F25">
        <w:t xml:space="preserve">En el presente Anexo se establece la metodología para la medición del RTILB </w:t>
      </w:r>
      <w:r w:rsidR="008D7ED3">
        <w:t>tanto:</w:t>
      </w:r>
      <w:r w:rsidR="009C2FFE">
        <w:t xml:space="preserve"> </w:t>
      </w:r>
      <w:r w:rsidR="002660CD">
        <w:t>1</w:t>
      </w:r>
      <w:r w:rsidR="009C2FFE">
        <w:t>)</w:t>
      </w:r>
      <w:r w:rsidR="000064E8" w:rsidRPr="00D74271">
        <w:t xml:space="preserve"> en el </w:t>
      </w:r>
      <w:r w:rsidR="000064E8">
        <w:t>Valor Económico del Patrimonio</w:t>
      </w:r>
      <w:r w:rsidR="000064E8" w:rsidRPr="00D74271">
        <w:t xml:space="preserve"> (VEP</w:t>
      </w:r>
      <w:r w:rsidR="000064E8">
        <w:t>)</w:t>
      </w:r>
      <w:r w:rsidR="00A179D4" w:rsidRPr="00D74271">
        <w:t xml:space="preserve"> </w:t>
      </w:r>
      <w:r w:rsidR="00DE38C5" w:rsidRPr="00D74271">
        <w:t xml:space="preserve">y </w:t>
      </w:r>
      <w:r w:rsidR="002660CD">
        <w:t>2</w:t>
      </w:r>
      <w:r w:rsidR="00A179D4" w:rsidRPr="00D74271">
        <w:t>)</w:t>
      </w:r>
      <w:r w:rsidR="000064E8" w:rsidRPr="000064E8">
        <w:t xml:space="preserve"> </w:t>
      </w:r>
      <w:r w:rsidR="000064E8" w:rsidRPr="00D74271">
        <w:t xml:space="preserve">en </w:t>
      </w:r>
      <w:r w:rsidR="00387AD6">
        <w:t>el Margen Neto de Intereses</w:t>
      </w:r>
      <w:r w:rsidR="000064E8" w:rsidRPr="00D74271">
        <w:rPr>
          <w:i/>
        </w:rPr>
        <w:t xml:space="preserve"> </w:t>
      </w:r>
      <w:r w:rsidR="000064E8" w:rsidRPr="00D74271">
        <w:t>(MNI)</w:t>
      </w:r>
      <w:r w:rsidR="000064E8">
        <w:t>.</w:t>
      </w:r>
    </w:p>
    <w:p w14:paraId="088499EE" w14:textId="77777777" w:rsidR="00645C6F" w:rsidRPr="00266D9E" w:rsidRDefault="00645C6F" w:rsidP="00A75EBC"/>
    <w:p w14:paraId="754C5502" w14:textId="410BB087" w:rsidR="00EC00CB" w:rsidRPr="00697421" w:rsidRDefault="00EC00CB" w:rsidP="00A75EBC">
      <w:pPr>
        <w:pStyle w:val="Ttulo1"/>
      </w:pPr>
      <w:bookmarkStart w:id="6" w:name="_Toc89764111"/>
      <w:bookmarkStart w:id="7" w:name="_Toc83387368"/>
      <w:bookmarkStart w:id="8" w:name="_Toc85033770"/>
      <w:r w:rsidRPr="00697421">
        <w:t>Modelo de cálculo del VEP</w:t>
      </w:r>
    </w:p>
    <w:p w14:paraId="5E6B6A1D" w14:textId="77777777" w:rsidR="00EC00CB" w:rsidRDefault="00EC00CB" w:rsidP="007C7798">
      <w:pPr>
        <w:pStyle w:val="Sinespaciado"/>
      </w:pPr>
    </w:p>
    <w:p w14:paraId="1C6729C0" w14:textId="63AA2567" w:rsidR="003E770A" w:rsidRDefault="003E770A" w:rsidP="00A75EBC">
      <w:r>
        <w:t xml:space="preserve">Las medidas de valor económico </w:t>
      </w:r>
      <w:r w:rsidRPr="003E770A">
        <w:t>calculan un cambio en el valor actual neto de los activos, pasivos y partidas fuera del balance de la entidad sujetos a escenarios de estrés y choques de tasas de interés específicos</w:t>
      </w:r>
      <w:r>
        <w:t xml:space="preserve">; </w:t>
      </w:r>
      <w:r w:rsidRPr="003E770A">
        <w:t>consideran el nuevo valor presente neto de los flujos de efectivo de los instrumentos en el balance y fuera del balance de la entidad, es decir, hasta el vencimiento de todas las posiciones.</w:t>
      </w:r>
    </w:p>
    <w:p w14:paraId="4850CED7" w14:textId="77777777" w:rsidR="00BF6011" w:rsidRDefault="00BF6011" w:rsidP="00A75EBC"/>
    <w:p w14:paraId="7C491BF9" w14:textId="73F9B61E" w:rsidR="00EC00CB" w:rsidRDefault="00227936" w:rsidP="00A75EBC">
      <w:r>
        <w:t xml:space="preserve">Para el cálculo del </w:t>
      </w:r>
      <w:r w:rsidR="00EC00CB" w:rsidRPr="00E75BD2">
        <w:t>VEP</w:t>
      </w:r>
      <w:r w:rsidR="00770E43">
        <w:t xml:space="preserve"> </w:t>
      </w:r>
      <w:r>
        <w:t>la entidad debe seguir las instrucciones de</w:t>
      </w:r>
      <w:r w:rsidR="009D1851">
        <w:t xml:space="preserve">l </w:t>
      </w:r>
      <w:proofErr w:type="spellStart"/>
      <w:r w:rsidR="009D1851">
        <w:t>subnumeral</w:t>
      </w:r>
      <w:proofErr w:type="spellEnd"/>
      <w:r w:rsidR="009D1851">
        <w:t xml:space="preserve"> </w:t>
      </w:r>
      <w:r w:rsidR="00E73ABC" w:rsidRPr="00E75BD2">
        <w:t>2</w:t>
      </w:r>
      <w:r w:rsidR="00EC00CB" w:rsidRPr="00E75BD2">
        <w:t>.</w:t>
      </w:r>
      <w:r w:rsidR="00E73ABC" w:rsidRPr="00E75BD2">
        <w:t>5</w:t>
      </w:r>
      <w:r w:rsidR="00EC00CB" w:rsidRPr="00E75BD2">
        <w:t xml:space="preserve"> de est</w:t>
      </w:r>
      <w:r w:rsidR="00ED55D7">
        <w:t>e anexo</w:t>
      </w:r>
      <w:r>
        <w:t xml:space="preserve"> y</w:t>
      </w:r>
      <w:r w:rsidR="00390FA2" w:rsidRPr="00E75BD2">
        <w:t xml:space="preserve"> considerar </w:t>
      </w:r>
      <w:r w:rsidR="00EC00CB" w:rsidRPr="00E75BD2">
        <w:t>los siguie</w:t>
      </w:r>
      <w:r w:rsidR="00EC00CB">
        <w:t>ntes pasos</w:t>
      </w:r>
      <w:r w:rsidR="00EC00CB" w:rsidRPr="00F36999">
        <w:t>:</w:t>
      </w:r>
    </w:p>
    <w:p w14:paraId="2310E513" w14:textId="77777777" w:rsidR="000267F5" w:rsidRPr="00F36999" w:rsidRDefault="000267F5" w:rsidP="00A75EBC"/>
    <w:p w14:paraId="1BC318C5" w14:textId="4E98C206" w:rsidR="00EC00CB" w:rsidRDefault="00292DDB" w:rsidP="00B047AC">
      <w:pPr>
        <w:pStyle w:val="Prrafodelista"/>
        <w:numPr>
          <w:ilvl w:val="0"/>
          <w:numId w:val="9"/>
        </w:numPr>
        <w:ind w:left="284" w:hanging="284"/>
      </w:pPr>
      <w:r>
        <w:t xml:space="preserve">Asignar </w:t>
      </w:r>
      <w:r w:rsidR="00137475">
        <w:t>los flujos de l</w:t>
      </w:r>
      <w:r w:rsidR="00137475" w:rsidRPr="00F36999">
        <w:t xml:space="preserve">as posiciones del libro bancario sensibles a las tasas de interés </w:t>
      </w:r>
      <w:r w:rsidR="00EC00CB" w:rsidRPr="00F36999">
        <w:t xml:space="preserve">a una de las siguientes tres categorías: </w:t>
      </w:r>
      <w:r w:rsidR="00770E43">
        <w:t>i)</w:t>
      </w:r>
      <w:r w:rsidR="000469B4">
        <w:t xml:space="preserve"> </w:t>
      </w:r>
      <w:r w:rsidR="00EC00CB" w:rsidRPr="00F36999">
        <w:t xml:space="preserve">susceptibles, </w:t>
      </w:r>
      <w:proofErr w:type="spellStart"/>
      <w:r w:rsidR="003A7A93">
        <w:t>ii</w:t>
      </w:r>
      <w:proofErr w:type="spellEnd"/>
      <w:r w:rsidR="003A7A93">
        <w:t xml:space="preserve">) </w:t>
      </w:r>
      <w:r w:rsidR="00EC00CB" w:rsidRPr="00F36999">
        <w:t xml:space="preserve">menos susceptibles y </w:t>
      </w:r>
      <w:proofErr w:type="spellStart"/>
      <w:r w:rsidR="003A7A93">
        <w:t>iii</w:t>
      </w:r>
      <w:proofErr w:type="spellEnd"/>
      <w:r w:rsidR="003A7A93">
        <w:t>)</w:t>
      </w:r>
      <w:r w:rsidR="000469B4">
        <w:t xml:space="preserve"> </w:t>
      </w:r>
      <w:r w:rsidR="00EC00CB" w:rsidRPr="00F36999">
        <w:t>no susceptibles de estandarización</w:t>
      </w:r>
      <w:r w:rsidR="00631446">
        <w:t xml:space="preserve">, </w:t>
      </w:r>
      <w:r w:rsidR="00EC00CB" w:rsidRPr="00F36999">
        <w:t xml:space="preserve">las cuales se </w:t>
      </w:r>
      <w:r w:rsidR="00C66550">
        <w:t xml:space="preserve">deben </w:t>
      </w:r>
      <w:r w:rsidR="00EC00CB" w:rsidRPr="00F36999">
        <w:t xml:space="preserve">tratar según los </w:t>
      </w:r>
      <w:r w:rsidR="00EC00CB" w:rsidRPr="00E75BD2">
        <w:t xml:space="preserve">criterios </w:t>
      </w:r>
      <w:r w:rsidR="007271FF">
        <w:t xml:space="preserve">de asignación de las posiciones en función de la susceptibilidad </w:t>
      </w:r>
      <w:r w:rsidR="00852C03">
        <w:t xml:space="preserve">a la estandarización </w:t>
      </w:r>
      <w:r w:rsidR="00EC00CB" w:rsidRPr="00E75BD2">
        <w:t>del</w:t>
      </w:r>
      <w:r w:rsidR="008C4D64" w:rsidRPr="00E75BD2">
        <w:t xml:space="preserve"> </w:t>
      </w:r>
      <w:proofErr w:type="spellStart"/>
      <w:r w:rsidR="008B18E1">
        <w:t>sub</w:t>
      </w:r>
      <w:r w:rsidR="008C4D64" w:rsidRPr="00E75BD2">
        <w:t>numeral</w:t>
      </w:r>
      <w:proofErr w:type="spellEnd"/>
      <w:r w:rsidR="008C4D64" w:rsidRPr="00E75BD2">
        <w:t xml:space="preserve"> 2.4</w:t>
      </w:r>
      <w:r w:rsidR="00EC00CB" w:rsidRPr="00E75BD2">
        <w:t>.</w:t>
      </w:r>
    </w:p>
    <w:p w14:paraId="35AC4B4B" w14:textId="3B8B1199" w:rsidR="000267F5" w:rsidRDefault="00EC00CB" w:rsidP="00B632AA">
      <w:pPr>
        <w:pStyle w:val="Prrafodelista"/>
        <w:numPr>
          <w:ilvl w:val="0"/>
          <w:numId w:val="9"/>
        </w:numPr>
        <w:ind w:left="284" w:hanging="284"/>
      </w:pPr>
      <w:r w:rsidRPr="00B942FC">
        <w:t>Determina</w:t>
      </w:r>
      <w:r w:rsidR="00B6068D">
        <w:t xml:space="preserve">r </w:t>
      </w:r>
      <w:r w:rsidR="00474FA4">
        <w:t>la asignación</w:t>
      </w:r>
      <w:r w:rsidRPr="00B942FC">
        <w:t xml:space="preserve"> de los flujos </w:t>
      </w:r>
      <w:r>
        <w:t xml:space="preserve">de efectivo </w:t>
      </w:r>
      <w:r w:rsidR="00474FA4">
        <w:t xml:space="preserve">según los plazos de revisión de precios. </w:t>
      </w:r>
      <w:r w:rsidR="00E447BB">
        <w:t>L</w:t>
      </w:r>
      <w:r w:rsidR="00B6068D">
        <w:t xml:space="preserve">as </w:t>
      </w:r>
      <w:r>
        <w:t xml:space="preserve">posiciones susceptibles </w:t>
      </w:r>
      <w:r w:rsidR="009A516F">
        <w:t xml:space="preserve">de </w:t>
      </w:r>
      <w:r>
        <w:t>estandarización</w:t>
      </w:r>
      <w:r w:rsidR="00474FA4">
        <w:t xml:space="preserve"> se asigna</w:t>
      </w:r>
      <w:r w:rsidR="00E71858">
        <w:t>n</w:t>
      </w:r>
      <w:r w:rsidR="00274812">
        <w:t xml:space="preserve"> de forma</w:t>
      </w:r>
      <w:r w:rsidR="00474FA4">
        <w:t xml:space="preserve"> directa</w:t>
      </w:r>
      <w:r w:rsidRPr="00B942FC">
        <w:t xml:space="preserve">. </w:t>
      </w:r>
      <w:r>
        <w:t>Las</w:t>
      </w:r>
      <w:r w:rsidRPr="00B942FC">
        <w:t xml:space="preserve"> p</w:t>
      </w:r>
      <w:r>
        <w:t>osiciones</w:t>
      </w:r>
      <w:r w:rsidRPr="00B942FC">
        <w:t xml:space="preserve"> menos susceptibles de estandarización se excluyen de este paso</w:t>
      </w:r>
      <w:r w:rsidR="00427C2C">
        <w:t xml:space="preserve"> y se deben tratar de acuerdo con la metodología de las opciones automáticas de tasa de interés del </w:t>
      </w:r>
      <w:proofErr w:type="spellStart"/>
      <w:r w:rsidR="00427C2C">
        <w:t>subnumeral</w:t>
      </w:r>
      <w:proofErr w:type="spellEnd"/>
      <w:r w:rsidR="00427C2C">
        <w:t xml:space="preserve"> 2.4.2</w:t>
      </w:r>
      <w:r>
        <w:t>. L</w:t>
      </w:r>
      <w:r w:rsidRPr="0021214B">
        <w:t xml:space="preserve">as </w:t>
      </w:r>
      <w:r w:rsidR="00474FA4">
        <w:t xml:space="preserve">posiciones con </w:t>
      </w:r>
      <w:r w:rsidRPr="0021214B">
        <w:t xml:space="preserve">opciones </w:t>
      </w:r>
      <w:r w:rsidR="00474FA4">
        <w:t>automáticas implícitas</w:t>
      </w:r>
      <w:r w:rsidR="00474FA4" w:rsidRPr="0021214B">
        <w:t xml:space="preserve"> </w:t>
      </w:r>
      <w:r w:rsidR="00474FA4">
        <w:t>sobre</w:t>
      </w:r>
      <w:r w:rsidRPr="0021214B">
        <w:t xml:space="preserve"> tasa</w:t>
      </w:r>
      <w:r w:rsidR="00474FA4">
        <w:t>s</w:t>
      </w:r>
      <w:r w:rsidRPr="0021214B">
        <w:t xml:space="preserve"> </w:t>
      </w:r>
      <w:r w:rsidR="00474FA4">
        <w:t>de interés, la opcionalidad se ignora a efectos de la</w:t>
      </w:r>
      <w:r w:rsidRPr="0021214B">
        <w:t xml:space="preserve"> asignación de flujos de efectivo</w:t>
      </w:r>
      <w:r w:rsidR="00474FA4">
        <w:t xml:space="preserve"> nocionales según los precios revisados</w:t>
      </w:r>
      <w:r w:rsidRPr="0021214B">
        <w:t xml:space="preserve"> y se </w:t>
      </w:r>
      <w:r>
        <w:t>deben tratar</w:t>
      </w:r>
      <w:r w:rsidRPr="0021214B">
        <w:t xml:space="preserve"> junto con otras opciones de tasa de interés automáticas en el </w:t>
      </w:r>
      <w:r w:rsidR="00197E23">
        <w:t>p</w:t>
      </w:r>
      <w:r w:rsidRPr="0021214B">
        <w:t>aso 4.</w:t>
      </w:r>
      <w:r>
        <w:t xml:space="preserve"> Para la</w:t>
      </w:r>
      <w:r w:rsidRPr="00B942FC">
        <w:t>s p</w:t>
      </w:r>
      <w:r>
        <w:t>osiciones</w:t>
      </w:r>
      <w:r w:rsidRPr="00B942FC">
        <w:t xml:space="preserve"> que no son susceptibles de estandarización existe un tratamiento separado para:</w:t>
      </w:r>
    </w:p>
    <w:p w14:paraId="6C577BDB" w14:textId="77777777" w:rsidR="00702FF2" w:rsidRDefault="00702FF2" w:rsidP="00702FF2">
      <w:pPr>
        <w:pStyle w:val="Prrafodelista"/>
        <w:ind w:left="284"/>
      </w:pPr>
    </w:p>
    <w:p w14:paraId="2B152E07" w14:textId="46AA7F7A" w:rsidR="00C553B9" w:rsidRDefault="00F04393" w:rsidP="00B047AC">
      <w:pPr>
        <w:pStyle w:val="Prrafodelista"/>
        <w:numPr>
          <w:ilvl w:val="0"/>
          <w:numId w:val="18"/>
        </w:numPr>
        <w:ind w:left="567" w:hanging="283"/>
      </w:pPr>
      <w:r w:rsidRPr="00842482">
        <w:t>Depósitos sin vencimiento (Non-</w:t>
      </w:r>
      <w:proofErr w:type="spellStart"/>
      <w:r w:rsidRPr="00842482">
        <w:t>Maturity</w:t>
      </w:r>
      <w:proofErr w:type="spellEnd"/>
      <w:r>
        <w:t xml:space="preserve"> </w:t>
      </w:r>
      <w:proofErr w:type="spellStart"/>
      <w:r w:rsidRPr="00842482">
        <w:t>Deposits</w:t>
      </w:r>
      <w:proofErr w:type="spellEnd"/>
      <w:r w:rsidRPr="00842482">
        <w:t xml:space="preserve"> </w:t>
      </w:r>
      <w:r>
        <w:t>-</w:t>
      </w:r>
      <w:r w:rsidRPr="00842482">
        <w:t xml:space="preserve"> NMD, por sus siglas en inglés): </w:t>
      </w:r>
      <w:r w:rsidR="00EC00CB" w:rsidRPr="00FC0FDB">
        <w:t xml:space="preserve"> de acuerdo con la separación de los flujos de </w:t>
      </w:r>
      <w:r w:rsidR="00EC00CB" w:rsidRPr="002F1CC6">
        <w:t xml:space="preserve">efectivo básicos </w:t>
      </w:r>
      <w:r w:rsidR="00F81636" w:rsidRPr="002F1CC6">
        <w:rPr>
          <w:i/>
        </w:rPr>
        <w:t>(</w:t>
      </w:r>
      <w:proofErr w:type="spellStart"/>
      <w:r w:rsidR="00F81636" w:rsidRPr="002F1CC6">
        <w:rPr>
          <w:i/>
        </w:rPr>
        <w:t>core</w:t>
      </w:r>
      <w:proofErr w:type="spellEnd"/>
      <w:r w:rsidR="00F81636" w:rsidRPr="002F1CC6">
        <w:rPr>
          <w:i/>
        </w:rPr>
        <w:t>)</w:t>
      </w:r>
      <w:r w:rsidR="00F81636" w:rsidRPr="002F1CC6">
        <w:t xml:space="preserve"> </w:t>
      </w:r>
      <w:r w:rsidR="00EC00CB" w:rsidRPr="002F1CC6">
        <w:t>y no básicos</w:t>
      </w:r>
      <w:r w:rsidR="00F81636" w:rsidRPr="002F1CC6">
        <w:t xml:space="preserve"> </w:t>
      </w:r>
      <w:r w:rsidR="00F81636" w:rsidRPr="002F1CC6">
        <w:rPr>
          <w:i/>
        </w:rPr>
        <w:t>(non-</w:t>
      </w:r>
      <w:proofErr w:type="spellStart"/>
      <w:r w:rsidR="00F81636" w:rsidRPr="002F1CC6">
        <w:rPr>
          <w:i/>
        </w:rPr>
        <w:t>core</w:t>
      </w:r>
      <w:proofErr w:type="spellEnd"/>
      <w:r w:rsidR="00924701">
        <w:rPr>
          <w:i/>
        </w:rPr>
        <w:t>)</w:t>
      </w:r>
      <w:r w:rsidR="00B52829">
        <w:rPr>
          <w:i/>
        </w:rPr>
        <w:t>,</w:t>
      </w:r>
      <w:r w:rsidR="00EC00CB" w:rsidRPr="002F1CC6">
        <w:t xml:space="preserve"> med</w:t>
      </w:r>
      <w:r w:rsidR="00EC00CB" w:rsidRPr="00C553B9">
        <w:t>iante el enfoque establecido en</w:t>
      </w:r>
      <w:r w:rsidR="00A861DB" w:rsidRPr="00C553B9">
        <w:t xml:space="preserve"> el </w:t>
      </w:r>
      <w:proofErr w:type="spellStart"/>
      <w:r w:rsidR="005349D2">
        <w:t>sub</w:t>
      </w:r>
      <w:r w:rsidR="00A861DB" w:rsidRPr="00C553B9">
        <w:t>numeral</w:t>
      </w:r>
      <w:proofErr w:type="spellEnd"/>
      <w:r w:rsidR="00A861DB" w:rsidRPr="00C553B9">
        <w:t xml:space="preserve"> 2.</w:t>
      </w:r>
      <w:r w:rsidR="00DB4EC0">
        <w:t>4</w:t>
      </w:r>
      <w:r w:rsidR="00EC00CB" w:rsidRPr="00C553B9">
        <w:t>.</w:t>
      </w:r>
      <w:r w:rsidR="000A5EE8" w:rsidRPr="00C553B9">
        <w:t>1</w:t>
      </w:r>
      <w:r w:rsidR="00DB4EC0">
        <w:t>.1</w:t>
      </w:r>
      <w:r w:rsidR="00197E23" w:rsidRPr="00C553B9">
        <w:t>.</w:t>
      </w:r>
    </w:p>
    <w:p w14:paraId="295D48B3" w14:textId="0B1AEC53" w:rsidR="000267F5" w:rsidRPr="00C553B9" w:rsidRDefault="00EC00CB" w:rsidP="00B632AA">
      <w:pPr>
        <w:pStyle w:val="Prrafodelista"/>
        <w:numPr>
          <w:ilvl w:val="0"/>
          <w:numId w:val="18"/>
        </w:numPr>
        <w:ind w:left="567" w:hanging="283"/>
      </w:pPr>
      <w:r w:rsidRPr="00C553B9">
        <w:t xml:space="preserve">Opciones de comportamiento (préstamos a tasa fija sujetos a riesgo de pago anticipado y depósitos a plazo sujetos a riesgo de reembolso anticipado): los parámetros de comportamiento relevantes para el tipo de posición deben basarse en </w:t>
      </w:r>
      <w:r w:rsidR="000B3392" w:rsidRPr="00C553B9">
        <w:t xml:space="preserve">los ponderadores </w:t>
      </w:r>
      <w:r w:rsidR="00EF52F3" w:rsidRPr="00C553B9">
        <w:t xml:space="preserve">de cada escenario descritos en el </w:t>
      </w:r>
      <w:proofErr w:type="spellStart"/>
      <w:r w:rsidR="00EF52F3" w:rsidRPr="00C553B9">
        <w:t>subnumeral</w:t>
      </w:r>
      <w:proofErr w:type="spellEnd"/>
      <w:r w:rsidR="00EF52F3" w:rsidRPr="00C553B9">
        <w:t xml:space="preserve"> </w:t>
      </w:r>
      <w:r w:rsidR="00A861DB" w:rsidRPr="00C553B9">
        <w:t>2</w:t>
      </w:r>
      <w:r w:rsidR="00B75AA9" w:rsidRPr="00C553B9">
        <w:t>.</w:t>
      </w:r>
      <w:r w:rsidR="00DB4EC0">
        <w:t>4.1.2</w:t>
      </w:r>
      <w:r w:rsidR="005F7A99" w:rsidRPr="00C553B9">
        <w:t>.</w:t>
      </w:r>
    </w:p>
    <w:p w14:paraId="0F7D1101" w14:textId="1B0BA5E5" w:rsidR="00EC00CB" w:rsidRPr="00D74271" w:rsidRDefault="004A73B9" w:rsidP="00B047AC">
      <w:pPr>
        <w:pStyle w:val="Prrafodelista"/>
        <w:numPr>
          <w:ilvl w:val="0"/>
          <w:numId w:val="9"/>
        </w:numPr>
        <w:ind w:left="284" w:hanging="284"/>
      </w:pPr>
      <w:r>
        <w:t>Medir e</w:t>
      </w:r>
      <w:r w:rsidR="00EC00CB" w:rsidRPr="00D74271">
        <w:t xml:space="preserve">l </w:t>
      </w:r>
      <m:oMath>
        <m:r>
          <w:rPr>
            <w:rFonts w:ascii="Cambria Math" w:hAnsi="Cambria Math"/>
          </w:rPr>
          <m:t>∆VEP</m:t>
        </m:r>
      </m:oMath>
      <w:r w:rsidR="00EC00CB" w:rsidRPr="00D74271">
        <w:t xml:space="preserve"> por </w:t>
      </w:r>
      <w:r>
        <w:t xml:space="preserve">cada </w:t>
      </w:r>
      <w:r w:rsidR="00EC00CB" w:rsidRPr="00D74271">
        <w:t xml:space="preserve">moneda para los seis escenarios de choque de tasas de interés </w:t>
      </w:r>
      <w:r w:rsidR="00870ADC">
        <w:t xml:space="preserve">según lo previsto en el </w:t>
      </w:r>
      <w:proofErr w:type="spellStart"/>
      <w:r w:rsidR="00870ADC">
        <w:t>subnumeral</w:t>
      </w:r>
      <w:proofErr w:type="spellEnd"/>
      <w:r w:rsidR="00EC00CB" w:rsidRPr="00F04393">
        <w:t xml:space="preserve"> </w:t>
      </w:r>
      <w:r w:rsidR="0042553E" w:rsidRPr="00F04393">
        <w:t>1</w:t>
      </w:r>
      <w:r w:rsidR="00EC00CB" w:rsidRPr="00F04393">
        <w:t>.</w:t>
      </w:r>
      <w:r w:rsidR="0042553E" w:rsidRPr="00F04393">
        <w:t>3</w:t>
      </w:r>
      <w:r w:rsidR="00EC00CB" w:rsidRPr="00F04393">
        <w:t>.</w:t>
      </w:r>
      <w:r w:rsidR="00236B43" w:rsidRPr="00F04393">
        <w:t xml:space="preserve"> </w:t>
      </w:r>
      <w:r w:rsidR="001456DB">
        <w:t xml:space="preserve">Para determinar el tamaño de las perturbaciones de </w:t>
      </w:r>
      <w:r w:rsidR="00CA4A09">
        <w:t xml:space="preserve">las posiciones </w:t>
      </w:r>
      <w:r w:rsidR="003A3EAE">
        <w:t xml:space="preserve">en monedas no definidas en esta </w:t>
      </w:r>
      <w:r w:rsidR="00870ADC">
        <w:t>instrucción</w:t>
      </w:r>
      <w:r w:rsidR="003A3EAE">
        <w:t xml:space="preserve">, </w:t>
      </w:r>
      <w:r w:rsidR="00CA4A09">
        <w:t xml:space="preserve">la entidad </w:t>
      </w:r>
      <w:r w:rsidR="003A3EAE">
        <w:t>debe</w:t>
      </w:r>
      <w:r w:rsidR="00870ADC">
        <w:t xml:space="preserve"> </w:t>
      </w:r>
      <w:r w:rsidR="003A3EAE">
        <w:t xml:space="preserve">considerar la metodología </w:t>
      </w:r>
      <w:r w:rsidR="00870ADC">
        <w:t xml:space="preserve">de </w:t>
      </w:r>
      <w:r w:rsidR="0078352E">
        <w:t>cálculo</w:t>
      </w:r>
      <w:r w:rsidR="00870ADC">
        <w:t xml:space="preserve"> de </w:t>
      </w:r>
      <w:proofErr w:type="gramStart"/>
      <w:r w:rsidR="00870ADC">
        <w:t>las mismas</w:t>
      </w:r>
      <w:proofErr w:type="gramEnd"/>
      <w:r w:rsidR="00870ADC">
        <w:t xml:space="preserve"> que se presenta en el </w:t>
      </w:r>
      <w:proofErr w:type="spellStart"/>
      <w:r w:rsidR="00870ADC">
        <w:t>sub</w:t>
      </w:r>
      <w:r w:rsidR="003A3EAE">
        <w:t>numeral</w:t>
      </w:r>
      <w:proofErr w:type="spellEnd"/>
      <w:r w:rsidR="003A3EAE">
        <w:t xml:space="preserve"> 1.3.1</w:t>
      </w:r>
      <w:r w:rsidR="00EC00CB">
        <w:t>.</w:t>
      </w:r>
    </w:p>
    <w:p w14:paraId="4C020C4F" w14:textId="55C91770" w:rsidR="00EC00CB" w:rsidRPr="00D74271" w:rsidRDefault="00B8784C" w:rsidP="00B047AC">
      <w:pPr>
        <w:pStyle w:val="Prrafodelista"/>
        <w:numPr>
          <w:ilvl w:val="0"/>
          <w:numId w:val="9"/>
        </w:numPr>
        <w:ind w:left="284" w:hanging="284"/>
      </w:pPr>
      <w:r>
        <w:t>Agregar</w:t>
      </w:r>
      <w:r w:rsidRPr="00D74271">
        <w:t xml:space="preserve"> a los cambios del </w:t>
      </w:r>
      <m:oMath>
        <m:r>
          <w:rPr>
            <w:rFonts w:ascii="Cambria Math" w:hAnsi="Cambria Math"/>
          </w:rPr>
          <m:t>VEP</m:t>
        </m:r>
      </m:oMath>
      <w:r>
        <w:rPr>
          <w:rFonts w:eastAsiaTheme="minorEastAsia"/>
        </w:rPr>
        <w:t xml:space="preserve"> l</w:t>
      </w:r>
      <w:r w:rsidR="00EC00CB" w:rsidRPr="00D74271">
        <w:t xml:space="preserve">os complementos para cambios en el valor de las opciones automáticas de tasa </w:t>
      </w:r>
      <w:r w:rsidR="00E663A7">
        <w:t xml:space="preserve">con el cálculo señalado </w:t>
      </w:r>
      <w:r w:rsidR="00EC00CB" w:rsidRPr="00E663A7">
        <w:t xml:space="preserve">en </w:t>
      </w:r>
      <w:r w:rsidR="0078352E">
        <w:t xml:space="preserve">el </w:t>
      </w:r>
      <w:proofErr w:type="spellStart"/>
      <w:r w:rsidR="0078352E">
        <w:t>subnumeral</w:t>
      </w:r>
      <w:proofErr w:type="spellEnd"/>
      <w:r w:rsidR="0078352E">
        <w:t xml:space="preserve"> </w:t>
      </w:r>
      <w:r w:rsidR="00C53450" w:rsidRPr="00E663A7">
        <w:t>2.</w:t>
      </w:r>
      <w:r w:rsidR="0059280C" w:rsidRPr="00E663A7">
        <w:t>4</w:t>
      </w:r>
      <w:r w:rsidR="00C53450" w:rsidRPr="00E663A7">
        <w:t>.</w:t>
      </w:r>
      <w:r w:rsidR="0059280C" w:rsidRPr="00E663A7">
        <w:t>2</w:t>
      </w:r>
      <w:r w:rsidR="00EC00CB" w:rsidRPr="00E663A7">
        <w:t>. Las</w:t>
      </w:r>
      <w:r w:rsidR="00EC00CB" w:rsidRPr="00D74271">
        <w:t xml:space="preserve"> opciones de tasa de interés automáticas vendidas están sujetas a una revaluación total en cada uno de los seis escenarios de choque de tasas de interés para cada moneda. Los cambios en los valores de las opciones se agregan a los cambios en la medida </w:t>
      </w:r>
      <m:oMath>
        <m:r>
          <w:rPr>
            <w:rFonts w:ascii="Cambria Math" w:hAnsi="Cambria Math"/>
          </w:rPr>
          <m:t>VEP</m:t>
        </m:r>
      </m:oMath>
      <w:r w:rsidR="00EC00CB" w:rsidRPr="00D74271">
        <w:t xml:space="preserve"> bajo cada escenario de choque de tasas de interés por moneda.</w:t>
      </w:r>
    </w:p>
    <w:p w14:paraId="059F0E57" w14:textId="5271425D" w:rsidR="00EC00CB" w:rsidRPr="00D3558C" w:rsidRDefault="006524E5" w:rsidP="00B047AC">
      <w:pPr>
        <w:pStyle w:val="Prrafodelista"/>
        <w:numPr>
          <w:ilvl w:val="0"/>
          <w:numId w:val="9"/>
        </w:numPr>
        <w:ind w:left="284" w:hanging="284"/>
      </w:pPr>
      <w:r>
        <w:t xml:space="preserve">Calcular el </w:t>
      </w:r>
      <m:oMath>
        <m:r>
          <w:rPr>
            <w:rFonts w:ascii="Cambria Math" w:hAnsi="Cambria Math"/>
          </w:rPr>
          <m:t>∆VEP</m:t>
        </m:r>
      </m:oMath>
      <w:r w:rsidR="00873F0B">
        <w:t xml:space="preserve">: </w:t>
      </w:r>
      <w:r w:rsidR="003D69F9">
        <w:t xml:space="preserve">La </w:t>
      </w:r>
      <m:oMath>
        <m:r>
          <w:rPr>
            <w:rFonts w:ascii="Cambria Math" w:hAnsi="Cambria Math"/>
          </w:rPr>
          <m:t>∆VEP</m:t>
        </m:r>
      </m:oMath>
      <w:r w:rsidR="003D69F9">
        <w:t xml:space="preserve"> será el máximo entre las peores reducciones agregadas del VEP procedentes de</w:t>
      </w:r>
      <w:r w:rsidR="00EC00CB" w:rsidRPr="00D3558C">
        <w:t xml:space="preserve"> los seis escenarios de choque de tasas de </w:t>
      </w:r>
      <w:r w:rsidR="00CF0C3D" w:rsidRPr="00D3558C">
        <w:t>interés</w:t>
      </w:r>
      <w:r w:rsidR="00CF0C3D">
        <w:t xml:space="preserve">, </w:t>
      </w:r>
      <w:r w:rsidR="00CF0C3D" w:rsidRPr="00D3558C">
        <w:t>según</w:t>
      </w:r>
      <w:r w:rsidR="0034791F">
        <w:t xml:space="preserve"> lo </w:t>
      </w:r>
      <w:r w:rsidR="00EC00CB" w:rsidRPr="00D3558C">
        <w:t>establecido</w:t>
      </w:r>
      <w:r w:rsidR="0034791F">
        <w:t xml:space="preserve"> en el </w:t>
      </w:r>
      <w:proofErr w:type="spellStart"/>
      <w:r w:rsidR="003D116F">
        <w:t>sub</w:t>
      </w:r>
      <w:r w:rsidR="0034791F">
        <w:t>numeral</w:t>
      </w:r>
      <w:proofErr w:type="spellEnd"/>
      <w:r w:rsidR="0034791F">
        <w:t xml:space="preserve"> 2.5.</w:t>
      </w:r>
      <w:r w:rsidR="00EC00CB" w:rsidRPr="00D3558C">
        <w:t xml:space="preserve"> </w:t>
      </w:r>
    </w:p>
    <w:p w14:paraId="63BC5916" w14:textId="72A563DD" w:rsidR="00A82B7F" w:rsidRDefault="00A82B7F" w:rsidP="007C7798">
      <w:pPr>
        <w:pStyle w:val="Sinespaciado"/>
      </w:pPr>
    </w:p>
    <w:p w14:paraId="44482996" w14:textId="04FC725F" w:rsidR="00523C82" w:rsidRPr="00F36999" w:rsidRDefault="00DC617D" w:rsidP="007C7798">
      <w:pPr>
        <w:pStyle w:val="Sinespaciado"/>
      </w:pPr>
      <w:r>
        <w:t>La entidad debe calcular la</w:t>
      </w:r>
      <w:r w:rsidR="009D6949">
        <w:t>s</w:t>
      </w:r>
      <w:r w:rsidR="00523C82" w:rsidRPr="007A3712">
        <w:t xml:space="preserve"> exposiciones </w:t>
      </w:r>
      <w:r w:rsidR="009D6949">
        <w:t xml:space="preserve">del RTILB </w:t>
      </w:r>
      <w:r w:rsidR="00523C82" w:rsidRPr="007A3712">
        <w:t>en los siguientes términos:</w:t>
      </w:r>
    </w:p>
    <w:p w14:paraId="1F7033F0" w14:textId="77777777" w:rsidR="00523C82" w:rsidRDefault="00523C82" w:rsidP="007C7798">
      <w:pPr>
        <w:pStyle w:val="Sinespaciado"/>
      </w:pPr>
    </w:p>
    <w:p w14:paraId="7D51506F" w14:textId="3334DB3C" w:rsidR="00570755" w:rsidRDefault="00570755" w:rsidP="00B047AC">
      <w:pPr>
        <w:pStyle w:val="Prrafodelista"/>
        <w:numPr>
          <w:ilvl w:val="0"/>
          <w:numId w:val="7"/>
        </w:numPr>
        <w:ind w:left="567" w:hanging="283"/>
      </w:pPr>
      <w:r w:rsidRPr="00F36999">
        <w:t xml:space="preserve">El VEP </w:t>
      </w:r>
      <w:r w:rsidR="00DD0D9A">
        <w:t xml:space="preserve">se </w:t>
      </w:r>
      <w:r w:rsidRPr="00F36999">
        <w:t xml:space="preserve">debe calcular asumiendo un </w:t>
      </w:r>
      <w:r w:rsidRPr="00570755">
        <w:rPr>
          <w:i/>
          <w:u w:val="single"/>
        </w:rPr>
        <w:t>balance de liquidación</w:t>
      </w:r>
      <w:r w:rsidR="00672657">
        <w:t xml:space="preserve"> </w:t>
      </w:r>
      <w:r w:rsidRPr="00F36999">
        <w:t>en el que las posiciones existentes en el libro bancario se amortizan y no se reemplazan por ningún negocio nuevo.</w:t>
      </w:r>
    </w:p>
    <w:p w14:paraId="50AD8469" w14:textId="6B4E4D8E" w:rsidR="007937E9" w:rsidRPr="00F36999" w:rsidRDefault="00523C82" w:rsidP="004B42F8">
      <w:pPr>
        <w:pStyle w:val="Prrafodelista"/>
        <w:numPr>
          <w:ilvl w:val="0"/>
          <w:numId w:val="7"/>
        </w:numPr>
        <w:ind w:left="567" w:hanging="283"/>
      </w:pPr>
      <w:r w:rsidRPr="00F36999">
        <w:t xml:space="preserve">Excluir </w:t>
      </w:r>
      <w:r w:rsidR="00AF14E6">
        <w:t xml:space="preserve">el </w:t>
      </w:r>
      <w:r w:rsidRPr="00F36999">
        <w:t xml:space="preserve">patrimonio del cálculo del </w:t>
      </w:r>
      <w:r w:rsidR="002E790C">
        <w:t xml:space="preserve">valor de las </w:t>
      </w:r>
      <w:r w:rsidRPr="00F36999">
        <w:t>exposici</w:t>
      </w:r>
      <w:r w:rsidR="002E790C">
        <w:t>ones</w:t>
      </w:r>
      <w:r w:rsidRPr="00F36999">
        <w:t>.</w:t>
      </w:r>
    </w:p>
    <w:p w14:paraId="4AE2897C" w14:textId="78726D15" w:rsidR="00523C82" w:rsidRPr="00F36999" w:rsidRDefault="00523C82" w:rsidP="00B047AC">
      <w:pPr>
        <w:pStyle w:val="Prrafodelista"/>
        <w:numPr>
          <w:ilvl w:val="0"/>
          <w:numId w:val="7"/>
        </w:numPr>
        <w:ind w:left="567" w:hanging="283"/>
      </w:pPr>
      <w:r w:rsidRPr="00F36999">
        <w:t xml:space="preserve">Incluir los flujos de efectivo de todos los activos, pasivos y partidas fuera de balance del libro bancario sensibles a las </w:t>
      </w:r>
      <w:r w:rsidR="0023252E">
        <w:t xml:space="preserve">variaciones en las </w:t>
      </w:r>
      <w:r w:rsidRPr="00F36999">
        <w:t xml:space="preserve">tasas de interés. </w:t>
      </w:r>
      <w:r w:rsidR="009E6C6B">
        <w:t>La entidad deberá r</w:t>
      </w:r>
      <w:r w:rsidRPr="00F36999">
        <w:t xml:space="preserve">evelar el impacto de las exclusiones o inclusiones de </w:t>
      </w:r>
      <w:r w:rsidR="009E6C6B">
        <w:t xml:space="preserve">los </w:t>
      </w:r>
      <w:r w:rsidRPr="00F36999">
        <w:t xml:space="preserve">márgenes comerciales y otros componentes del margen en </w:t>
      </w:r>
      <w:r w:rsidR="009E6C6B">
        <w:t xml:space="preserve">el </w:t>
      </w:r>
      <w:r w:rsidR="00560C0E">
        <w:t>cálculo de</w:t>
      </w:r>
      <w:r w:rsidR="009E6C6B">
        <w:t xml:space="preserve"> los </w:t>
      </w:r>
      <w:r w:rsidRPr="00F36999">
        <w:t>flujos de efectivo.</w:t>
      </w:r>
    </w:p>
    <w:p w14:paraId="6FC133A9" w14:textId="025062F0" w:rsidR="00523C82" w:rsidRPr="00F36999" w:rsidRDefault="00EE0617" w:rsidP="00B047AC">
      <w:pPr>
        <w:pStyle w:val="Prrafodelista"/>
        <w:numPr>
          <w:ilvl w:val="0"/>
          <w:numId w:val="7"/>
        </w:numPr>
        <w:ind w:left="567" w:hanging="283"/>
      </w:pPr>
      <w:r>
        <w:t>D</w:t>
      </w:r>
      <w:r w:rsidR="00523C82" w:rsidRPr="00F36999">
        <w:t xml:space="preserve">escontar </w:t>
      </w:r>
      <w:r>
        <w:t>l</w:t>
      </w:r>
      <w:r w:rsidRPr="00F36999">
        <w:t xml:space="preserve">os flujos de efectivo </w:t>
      </w:r>
      <w:r w:rsidR="00523C82" w:rsidRPr="00F36999">
        <w:t xml:space="preserve">utilizando una </w:t>
      </w:r>
      <w:r w:rsidR="00915710">
        <w:t>curva</w:t>
      </w:r>
      <w:r w:rsidR="00523C82" w:rsidRPr="00F36999">
        <w:t xml:space="preserve"> </w:t>
      </w:r>
      <w:proofErr w:type="gramStart"/>
      <w:r w:rsidR="009C254E">
        <w:t xml:space="preserve">cero </w:t>
      </w:r>
      <w:r w:rsidR="00DC617D">
        <w:t>cupón</w:t>
      </w:r>
      <w:proofErr w:type="gramEnd"/>
      <w:r w:rsidR="009C254E">
        <w:t xml:space="preserve">, </w:t>
      </w:r>
      <w:r w:rsidR="00523C82" w:rsidRPr="00F36999">
        <w:t>libre de riesgo</w:t>
      </w:r>
      <w:r w:rsidR="00915710">
        <w:t xml:space="preserve"> correspondiente a cada moneda</w:t>
      </w:r>
      <w:r w:rsidR="00560C0E">
        <w:t>. L</w:t>
      </w:r>
      <w:r w:rsidR="009C254E">
        <w:t xml:space="preserve">a </w:t>
      </w:r>
      <w:r w:rsidR="00E80E0C">
        <w:t>entidad s</w:t>
      </w:r>
      <w:r w:rsidR="00221E61">
        <w:t>ó</w:t>
      </w:r>
      <w:r w:rsidR="00E80E0C">
        <w:t>lo</w:t>
      </w:r>
      <w:r w:rsidR="00560C0E">
        <w:t xml:space="preserve"> </w:t>
      </w:r>
      <w:r w:rsidR="006E2FCF">
        <w:t xml:space="preserve">podrá </w:t>
      </w:r>
      <w:r w:rsidR="006E2FCF" w:rsidRPr="00F36999">
        <w:t>incluir</w:t>
      </w:r>
      <w:r w:rsidR="00560C0E">
        <w:t xml:space="preserve"> </w:t>
      </w:r>
      <w:r w:rsidR="00523C82" w:rsidRPr="00F36999">
        <w:t>márgenes comerciales y otros componentes de</w:t>
      </w:r>
      <w:r w:rsidR="00560C0E">
        <w:t>l</w:t>
      </w:r>
      <w:r w:rsidR="00523C82" w:rsidRPr="00F36999">
        <w:t xml:space="preserve"> margen sólo si los incluyó en </w:t>
      </w:r>
      <w:r w:rsidR="00A14E0E">
        <w:t xml:space="preserve">el cálculo </w:t>
      </w:r>
      <w:r w:rsidR="00DC617D">
        <w:t xml:space="preserve">de los </w:t>
      </w:r>
      <w:r w:rsidR="00DC617D" w:rsidRPr="00F36999">
        <w:t>flujos</w:t>
      </w:r>
      <w:r w:rsidR="00523C82" w:rsidRPr="00F36999">
        <w:t xml:space="preserve"> de efectivo</w:t>
      </w:r>
      <w:r w:rsidR="00523C82" w:rsidRPr="00F36999">
        <w:rPr>
          <w:rStyle w:val="Refdenotaalpie"/>
        </w:rPr>
        <w:footnoteReference w:id="2"/>
      </w:r>
      <w:r w:rsidR="00523C82" w:rsidRPr="00F36999">
        <w:t>.</w:t>
      </w:r>
    </w:p>
    <w:p w14:paraId="125EA383" w14:textId="1DCB5529" w:rsidR="00523C82" w:rsidRPr="00F36999" w:rsidRDefault="00523C82" w:rsidP="00B047AC">
      <w:pPr>
        <w:pStyle w:val="Prrafodelista"/>
        <w:numPr>
          <w:ilvl w:val="0"/>
          <w:numId w:val="4"/>
        </w:numPr>
        <w:ind w:left="567" w:hanging="283"/>
        <w:rPr>
          <w:u w:val="single"/>
        </w:rPr>
      </w:pPr>
      <w:r w:rsidRPr="00F36999">
        <w:t xml:space="preserve">Comparar los resultados </w:t>
      </w:r>
      <w:r>
        <w:t>de la metodología</w:t>
      </w:r>
      <w:r w:rsidRPr="00F36999">
        <w:t xml:space="preserve"> estándar </w:t>
      </w:r>
      <w:r w:rsidR="0061025E">
        <w:t xml:space="preserve">definida en este anexo </w:t>
      </w:r>
      <w:r w:rsidRPr="00F36999">
        <w:t>y los obtenidos con el modelo interno de la entidad. Los portafolios sensibles a movimientos del mercado deben ser identificados dentro de</w:t>
      </w:r>
      <w:r w:rsidR="006E2FCF">
        <w:t xml:space="preserve">l modelo </w:t>
      </w:r>
      <w:r w:rsidRPr="00F36999">
        <w:t xml:space="preserve">interno y </w:t>
      </w:r>
      <w:r w:rsidR="006E2FCF">
        <w:t xml:space="preserve">ser </w:t>
      </w:r>
      <w:r w:rsidR="005006B8">
        <w:t xml:space="preserve">objeto de control </w:t>
      </w:r>
      <w:r w:rsidR="00AA7DC4">
        <w:t xml:space="preserve">y seguimiento </w:t>
      </w:r>
      <w:r w:rsidRPr="00F36999">
        <w:t xml:space="preserve">en línea con algún otro portafolio expuesto </w:t>
      </w:r>
      <w:r w:rsidR="00AA7DC4">
        <w:t xml:space="preserve">al </w:t>
      </w:r>
      <w:r w:rsidRPr="00F36999">
        <w:t>riesgo de mercado. Para este enfoque</w:t>
      </w:r>
      <w:r w:rsidR="00C173E4">
        <w:t xml:space="preserve"> la entidad </w:t>
      </w:r>
      <w:r w:rsidRPr="00F36999">
        <w:t>debe considerar</w:t>
      </w:r>
      <w:r w:rsidR="00C173E4">
        <w:t xml:space="preserve"> </w:t>
      </w:r>
      <w:r w:rsidRPr="00F36999">
        <w:t xml:space="preserve">que el valor económico de un instrumento negociable es su valor presente, y que, en ausencia de opciones incorporadas, este valor </w:t>
      </w:r>
      <w:r w:rsidR="00D63486">
        <w:t xml:space="preserve">se debe </w:t>
      </w:r>
      <w:r w:rsidRPr="00F36999">
        <w:t>determina</w:t>
      </w:r>
      <w:r w:rsidR="00D63486">
        <w:t xml:space="preserve">r </w:t>
      </w:r>
      <w:r w:rsidRPr="00F36999">
        <w:t>por los flujos contractuales, descontados para reflejar las tasas de mercado vigentes.</w:t>
      </w:r>
    </w:p>
    <w:p w14:paraId="2B6A8972" w14:textId="77777777" w:rsidR="00645C6F" w:rsidRPr="00F36999" w:rsidRDefault="00645C6F" w:rsidP="00D03EC5"/>
    <w:p w14:paraId="69AEC930" w14:textId="6D55DBD9" w:rsidR="008511EC" w:rsidRDefault="000D5509" w:rsidP="00A75EBC">
      <w:pPr>
        <w:pStyle w:val="Ttulo1"/>
      </w:pPr>
      <w:r>
        <w:t>Mod</w:t>
      </w:r>
      <w:r w:rsidR="00B1084B">
        <w:t xml:space="preserve">elo de </w:t>
      </w:r>
      <w:r w:rsidR="00596242">
        <w:t>cálculo</w:t>
      </w:r>
      <w:r w:rsidR="00B1084B">
        <w:t xml:space="preserve"> del MNI</w:t>
      </w:r>
      <w:bookmarkEnd w:id="6"/>
    </w:p>
    <w:p w14:paraId="11DFF2C5" w14:textId="77777777" w:rsidR="00D03EC5" w:rsidRPr="00D03EC5" w:rsidRDefault="00D03EC5" w:rsidP="00D03EC5"/>
    <w:p w14:paraId="2B3EA91E" w14:textId="766B3C84" w:rsidR="00F06CD5" w:rsidRDefault="00F06CD5" w:rsidP="00A75EBC">
      <w:r w:rsidRPr="00BF1035">
        <w:t xml:space="preserve">Las medidas basadas en </w:t>
      </w:r>
      <w:r w:rsidR="00880929">
        <w:t xml:space="preserve">las </w:t>
      </w:r>
      <w:r w:rsidRPr="00BF1035">
        <w:t xml:space="preserve">ganancias analizan el aumento o la reducción esperado en el </w:t>
      </w:r>
      <w:r w:rsidR="00E4092E" w:rsidRPr="00BF1035">
        <w:t>MNI</w:t>
      </w:r>
      <w:r w:rsidRPr="00BF1035">
        <w:t xml:space="preserve"> en un horizonte de tiempo </w:t>
      </w:r>
      <w:r w:rsidR="00A268A6" w:rsidRPr="00BF1035">
        <w:t>de</w:t>
      </w:r>
      <w:r w:rsidR="00AB7EA2" w:rsidRPr="00BF1035">
        <w:t xml:space="preserve"> un año</w:t>
      </w:r>
      <w:r w:rsidR="00A246D8" w:rsidRPr="00BF1035">
        <w:t>,</w:t>
      </w:r>
      <w:r w:rsidRPr="00BF1035">
        <w:t xml:space="preserve"> como resultado de los movimientos de las tasas de interés que se componen de</w:t>
      </w:r>
      <w:r w:rsidR="00BA05A2" w:rsidRPr="00BF1035">
        <w:t xml:space="preserve"> </w:t>
      </w:r>
      <w:r w:rsidR="004679A9">
        <w:rPr>
          <w:noProof/>
        </w:rPr>
        <w:lastRenderedPageBreak/>
        <mc:AlternateContent>
          <mc:Choice Requires="wps">
            <w:drawing>
              <wp:anchor distT="0" distB="0" distL="114300" distR="114300" simplePos="0" relativeHeight="251660288" behindDoc="0" locked="0" layoutInCell="1" allowOverlap="1" wp14:anchorId="2DE137B1" wp14:editId="5B37DC5E">
                <wp:simplePos x="0" y="0"/>
                <wp:positionH relativeFrom="column">
                  <wp:posOffset>-141984</wp:posOffset>
                </wp:positionH>
                <wp:positionV relativeFrom="paragraph">
                  <wp:posOffset>-32723</wp:posOffset>
                </wp:positionV>
                <wp:extent cx="0" cy="10141527"/>
                <wp:effectExtent l="0" t="0" r="38100" b="31750"/>
                <wp:wrapNone/>
                <wp:docPr id="5" name="Conector recto 5"/>
                <wp:cNvGraphicFramePr/>
                <a:graphic xmlns:a="http://schemas.openxmlformats.org/drawingml/2006/main">
                  <a:graphicData uri="http://schemas.microsoft.com/office/word/2010/wordprocessingShape">
                    <wps:wsp>
                      <wps:cNvCnPr/>
                      <wps:spPr>
                        <a:xfrm>
                          <a:off x="0" y="0"/>
                          <a:ext cx="0" cy="101415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1D632" id="Conector recto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pt,-2.6pt" to="-11.2pt,7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" strokecolor="black [3200]" strokeweight=".5pt">
                <v:stroke joinstyle="miter"/>
              </v:line>
            </w:pict>
          </mc:Fallback>
        </mc:AlternateContent>
      </w:r>
      <w:r w:rsidRPr="00BF1035">
        <w:t>incremento</w:t>
      </w:r>
      <w:r w:rsidR="00BA05A2" w:rsidRPr="00BF1035">
        <w:t>s</w:t>
      </w:r>
      <w:r w:rsidRPr="00BF1035">
        <w:t xml:space="preserve"> gradual</w:t>
      </w:r>
      <w:r w:rsidR="00BA05A2" w:rsidRPr="00BF1035">
        <w:t>es</w:t>
      </w:r>
      <w:r w:rsidRPr="00BF1035">
        <w:t xml:space="preserve"> o </w:t>
      </w:r>
      <w:r w:rsidR="00BA05A2" w:rsidRPr="00BF1035">
        <w:t xml:space="preserve">de un choque </w:t>
      </w:r>
      <w:r w:rsidRPr="00BF1035">
        <w:t>único</w:t>
      </w:r>
      <w:r w:rsidR="00BA05A2" w:rsidRPr="00BF1035">
        <w:t xml:space="preserve"> </w:t>
      </w:r>
      <w:r w:rsidR="002D6922" w:rsidRPr="00BF1035">
        <w:t>significativo</w:t>
      </w:r>
      <w:r w:rsidRPr="00BF1035">
        <w:t xml:space="preserve">. El cambio en el </w:t>
      </w:r>
      <w:r w:rsidR="0047648E" w:rsidRPr="00BF1035">
        <w:t>MNI</w:t>
      </w:r>
      <w:r w:rsidRPr="00BF1035">
        <w:t xml:space="preserve"> es la diferencia entre </w:t>
      </w:r>
      <w:r w:rsidR="00EE6DB8">
        <w:t>el</w:t>
      </w:r>
      <w:r w:rsidRPr="00BF1035">
        <w:t xml:space="preserve"> escenario base y un escenario alternativo más estresa</w:t>
      </w:r>
      <w:r w:rsidR="008B3A4E" w:rsidRPr="00BF1035">
        <w:t>do</w:t>
      </w:r>
      <w:r w:rsidRPr="00BF1035">
        <w:t>. El escenario del caso base</w:t>
      </w:r>
      <w:r w:rsidR="00364B57">
        <w:t xml:space="preserve"> debe</w:t>
      </w:r>
      <w:r w:rsidRPr="00BF1035">
        <w:t xml:space="preserve"> refleja</w:t>
      </w:r>
      <w:r w:rsidR="00364B57">
        <w:t>r</w:t>
      </w:r>
      <w:r w:rsidRPr="00BF1035">
        <w:t xml:space="preserve"> el plan corporativo actual </w:t>
      </w:r>
      <w:r w:rsidR="0047648E" w:rsidRPr="00BF1035">
        <w:t>de la entidad</w:t>
      </w:r>
      <w:r w:rsidRPr="00BF1035">
        <w:t xml:space="preserve"> al proyectar el volumen, la fijación de precios y las fechas de revisión de las transacciones comerciales futuras. Las tasas de interés utilizadas para restablecer las transacciones en el escenario base pueden derivarse de las tasas esperadas del mercado o de las tasas al contado. </w:t>
      </w:r>
    </w:p>
    <w:p w14:paraId="24832D1F" w14:textId="77777777" w:rsidR="007A3712" w:rsidRPr="00BF1035" w:rsidRDefault="007A3712" w:rsidP="00A75EBC"/>
    <w:p w14:paraId="3D68F85D" w14:textId="39516EC6" w:rsidR="008C4898" w:rsidRDefault="006A36A8" w:rsidP="009D3481">
      <w:pPr>
        <w:pStyle w:val="Sinespaciado"/>
      </w:pPr>
      <w:r>
        <w:t>La entidad debe calcular las</w:t>
      </w:r>
      <w:r w:rsidRPr="007A3712">
        <w:t xml:space="preserve"> exposiciones </w:t>
      </w:r>
      <w:r>
        <w:t xml:space="preserve">del RTILB </w:t>
      </w:r>
      <w:r w:rsidRPr="007A3712">
        <w:t>en los siguientes términos</w:t>
      </w:r>
      <w:r w:rsidR="008C4898" w:rsidRPr="00F36999">
        <w:t>:</w:t>
      </w:r>
    </w:p>
    <w:p w14:paraId="2E208BA2" w14:textId="77777777" w:rsidR="00603EF2" w:rsidRPr="00F36999" w:rsidRDefault="00603EF2" w:rsidP="00A75EBC"/>
    <w:p w14:paraId="57E95ADF" w14:textId="5E3F109B" w:rsidR="007C3F96" w:rsidRPr="00603EF2" w:rsidRDefault="00603EF2" w:rsidP="00B047AC">
      <w:pPr>
        <w:pStyle w:val="Sinespaciado"/>
        <w:numPr>
          <w:ilvl w:val="0"/>
          <w:numId w:val="3"/>
        </w:numPr>
        <w:ind w:left="567" w:hanging="283"/>
        <w:rPr>
          <w:b/>
        </w:rPr>
      </w:pPr>
      <w:r w:rsidRPr="00F36999">
        <w:t xml:space="preserve">Suponer un </w:t>
      </w:r>
      <w:r w:rsidRPr="00603EF2">
        <w:rPr>
          <w:i/>
          <w:u w:val="single"/>
        </w:rPr>
        <w:t>balance constante</w:t>
      </w:r>
      <w:r w:rsidR="0058786A">
        <w:t xml:space="preserve"> </w:t>
      </w:r>
      <w:r w:rsidRPr="00F36999">
        <w:t xml:space="preserve">donde los flujos de efectivo que vencen o se revalúan son sustituidos por nuevos flujos con idénticas características en cuanto a </w:t>
      </w:r>
      <w:r w:rsidR="00EA5368">
        <w:t>moneda, monto, tasa y</w:t>
      </w:r>
      <w:r w:rsidRPr="00F36999">
        <w:t xml:space="preserve"> periodo de </w:t>
      </w:r>
      <w:r w:rsidR="00EA5368">
        <w:t>revisión</w:t>
      </w:r>
      <w:r w:rsidRPr="00F36999">
        <w:t>.</w:t>
      </w:r>
    </w:p>
    <w:p w14:paraId="2E500563" w14:textId="23126442" w:rsidR="007C3F96" w:rsidRPr="00F36999" w:rsidRDefault="007C3F96" w:rsidP="00B047AC">
      <w:pPr>
        <w:pStyle w:val="Sinespaciado"/>
        <w:numPr>
          <w:ilvl w:val="0"/>
          <w:numId w:val="3"/>
        </w:numPr>
        <w:ind w:left="567" w:hanging="283"/>
        <w:rPr>
          <w:b/>
        </w:rPr>
      </w:pPr>
      <w:r w:rsidRPr="00F36999">
        <w:t xml:space="preserve">Incluir los flujos de efectivo previstos </w:t>
      </w:r>
      <w:r w:rsidR="00AD6341">
        <w:t xml:space="preserve">para </w:t>
      </w:r>
      <w:r w:rsidRPr="00F36999">
        <w:t xml:space="preserve">el mediano y corto plazo procedentes de todos los activos, pasivos y </w:t>
      </w:r>
      <w:r w:rsidR="00603EF2">
        <w:t>partidas</w:t>
      </w:r>
      <w:r w:rsidRPr="00F36999">
        <w:t xml:space="preserve"> fuera de balance sensibles a las tasas de interés.</w:t>
      </w:r>
    </w:p>
    <w:p w14:paraId="3BDE8ED4" w14:textId="51BEBF9D" w:rsidR="007C3F96" w:rsidRPr="00480603" w:rsidRDefault="00EF59EF" w:rsidP="00B047AC">
      <w:pPr>
        <w:pStyle w:val="Sinespaciado"/>
        <w:numPr>
          <w:ilvl w:val="0"/>
          <w:numId w:val="3"/>
        </w:numPr>
        <w:ind w:left="567" w:hanging="283"/>
        <w:rPr>
          <w:b/>
        </w:rPr>
      </w:pPr>
      <w:r>
        <w:t>C</w:t>
      </w:r>
      <w:r w:rsidR="00A73325">
        <w:t>alcular e</w:t>
      </w:r>
      <w:r w:rsidR="007C3F96" w:rsidRPr="00F36999">
        <w:t>l ∆MNI como la diferencia en los ingresos y gastos por intereses futuros durante un periodo móvil de 12 meses.</w:t>
      </w:r>
    </w:p>
    <w:bookmarkEnd w:id="0"/>
    <w:bookmarkEnd w:id="7"/>
    <w:bookmarkEnd w:id="8"/>
    <w:p w14:paraId="66DBF646" w14:textId="77777777" w:rsidR="00480603" w:rsidRPr="00A93CEF" w:rsidRDefault="00480603" w:rsidP="00A75EBC"/>
    <w:p w14:paraId="03365C75" w14:textId="42F4B593" w:rsidR="00E22E10" w:rsidRPr="00A93CEF" w:rsidRDefault="0098442E" w:rsidP="00A75EBC">
      <w:pPr>
        <w:pStyle w:val="Ttulo1"/>
      </w:pPr>
      <w:bookmarkStart w:id="9" w:name="_Toc83387378"/>
      <w:bookmarkStart w:id="10" w:name="_Toc85033780"/>
      <w:bookmarkStart w:id="11" w:name="_Toc89764112"/>
      <w:r w:rsidRPr="00A93CEF">
        <w:t>Desarrollo de escenarios de estrés y perturbación de las tasas de interés</w:t>
      </w:r>
      <w:bookmarkEnd w:id="9"/>
      <w:bookmarkEnd w:id="10"/>
      <w:bookmarkEnd w:id="11"/>
    </w:p>
    <w:p w14:paraId="553FDAA4" w14:textId="77777777" w:rsidR="001D39E4" w:rsidRPr="00A93CEF" w:rsidRDefault="001D39E4" w:rsidP="007C7798">
      <w:pPr>
        <w:pStyle w:val="Sinespaciado"/>
      </w:pPr>
    </w:p>
    <w:p w14:paraId="16B2D573" w14:textId="26AF7DAA" w:rsidR="00C63FD3" w:rsidRDefault="00AB2138" w:rsidP="00A75EBC">
      <w:r>
        <w:t xml:space="preserve">La </w:t>
      </w:r>
      <w:r w:rsidR="00C17057">
        <w:t>metodología</w:t>
      </w:r>
      <w:r w:rsidR="00C17057" w:rsidRPr="00A93CEF">
        <w:t xml:space="preserve"> </w:t>
      </w:r>
      <w:r w:rsidR="00C63FD3" w:rsidRPr="00A93CEF">
        <w:t>incluye</w:t>
      </w:r>
      <w:r w:rsidR="00855E28" w:rsidRPr="00A93CEF">
        <w:t xml:space="preserve"> </w:t>
      </w:r>
      <w:r w:rsidR="00C63FD3" w:rsidRPr="00A93CEF">
        <w:t>seis escenarios de perturbación de las tasas de interés para capt</w:t>
      </w:r>
      <w:r w:rsidR="001A7905">
        <w:t>ur</w:t>
      </w:r>
      <w:r w:rsidR="00C63FD3" w:rsidRPr="00A93CEF">
        <w:t xml:space="preserve">ar los riesgos de brecha paralelos y no paralelos para </w:t>
      </w:r>
      <w:r w:rsidR="00CE59B9">
        <w:t xml:space="preserve">el </w:t>
      </w:r>
      <w:r w:rsidR="00C63FD3" w:rsidRPr="00A93CEF">
        <w:t xml:space="preserve">VEP, así como dos escenarios de tasas de interés </w:t>
      </w:r>
      <w:r w:rsidR="00C63FD3" w:rsidRPr="003728A1">
        <w:t xml:space="preserve">para </w:t>
      </w:r>
      <w:r w:rsidR="00DB6947" w:rsidRPr="003728A1">
        <w:t>el</w:t>
      </w:r>
      <w:r w:rsidR="00C63FD3" w:rsidRPr="003728A1">
        <w:t xml:space="preserve"> MNI</w:t>
      </w:r>
      <w:r w:rsidR="004837E7" w:rsidRPr="003728A1">
        <w:t xml:space="preserve"> (choques paralelos</w:t>
      </w:r>
      <w:r w:rsidR="00A61F5A" w:rsidRPr="003728A1">
        <w:t xml:space="preserve"> de tasa</w:t>
      </w:r>
      <w:r w:rsidR="004837E7" w:rsidRPr="003728A1">
        <w:t>)</w:t>
      </w:r>
      <w:r w:rsidR="00C63FD3" w:rsidRPr="003728A1">
        <w:t>.</w:t>
      </w:r>
      <w:r w:rsidR="004B0D92" w:rsidRPr="003728A1">
        <w:t xml:space="preserve"> </w:t>
      </w:r>
      <w:r w:rsidR="00C85561" w:rsidRPr="003728A1">
        <w:t>E</w:t>
      </w:r>
      <w:r w:rsidR="00C63FD3" w:rsidRPr="003728A1">
        <w:t xml:space="preserve">stos </w:t>
      </w:r>
      <w:r w:rsidR="00BB49BA" w:rsidRPr="003728A1">
        <w:t xml:space="preserve">escenarios </w:t>
      </w:r>
      <w:r w:rsidR="00C63FD3" w:rsidRPr="003728A1">
        <w:t xml:space="preserve">se </w:t>
      </w:r>
      <w:r w:rsidR="00C85561" w:rsidRPr="003728A1">
        <w:t xml:space="preserve">deben considerar para </w:t>
      </w:r>
      <w:r w:rsidR="002D5A20" w:rsidRPr="003728A1">
        <w:t>las</w:t>
      </w:r>
      <w:r w:rsidR="00C63FD3" w:rsidRPr="003728A1">
        <w:t xml:space="preserve"> exposiciones de RTILB en</w:t>
      </w:r>
      <w:r w:rsidR="00C63FD3" w:rsidRPr="00374BEF">
        <w:t xml:space="preserve"> cada moneda en la que l</w:t>
      </w:r>
      <w:r w:rsidR="00C85561" w:rsidRPr="00374BEF">
        <w:t xml:space="preserve">a entidad </w:t>
      </w:r>
      <w:r w:rsidR="00C63FD3" w:rsidRPr="00374BEF">
        <w:t>t</w:t>
      </w:r>
      <w:r w:rsidR="0021156B" w:rsidRPr="00374BEF">
        <w:t>enga</w:t>
      </w:r>
      <w:r w:rsidR="00C63FD3" w:rsidRPr="00374BEF">
        <w:t xml:space="preserve"> </w:t>
      </w:r>
      <w:r w:rsidR="00C63FD3" w:rsidRPr="00842482">
        <w:t>pos</w:t>
      </w:r>
      <w:r w:rsidR="00975717" w:rsidRPr="00842482">
        <w:t>iciones</w:t>
      </w:r>
      <w:r w:rsidR="004B0D92" w:rsidRPr="00842482">
        <w:t xml:space="preserve"> significativas</w:t>
      </w:r>
      <w:r w:rsidR="00374BEF" w:rsidRPr="00374BEF">
        <w:t xml:space="preserve">, es decir aquellas </w:t>
      </w:r>
      <w:r w:rsidR="002D42B9">
        <w:t>que representen más del 5% de la</w:t>
      </w:r>
      <w:r w:rsidR="00374BEF" w:rsidRPr="00374BEF">
        <w:t xml:space="preserve">s </w:t>
      </w:r>
      <w:r w:rsidR="00CE59B9">
        <w:t>posiciones</w:t>
      </w:r>
      <w:r w:rsidR="00006A54">
        <w:t xml:space="preserve"> expuestas al RTILB</w:t>
      </w:r>
      <w:r w:rsidR="00CE59B9">
        <w:t xml:space="preserve"> en </w:t>
      </w:r>
      <w:r w:rsidR="00374BEF" w:rsidRPr="00374BEF">
        <w:t>activos</w:t>
      </w:r>
      <w:r w:rsidR="00006A54">
        <w:t>,</w:t>
      </w:r>
      <w:r w:rsidR="00374BEF" w:rsidRPr="00374BEF">
        <w:t xml:space="preserve"> pasivos</w:t>
      </w:r>
      <w:r w:rsidR="00006A54">
        <w:t xml:space="preserve"> o fuera de balance</w:t>
      </w:r>
      <w:r w:rsidR="00374BEF" w:rsidRPr="00374BEF">
        <w:t xml:space="preserve"> en cada moneda</w:t>
      </w:r>
      <w:r w:rsidR="00F75632" w:rsidRPr="00374BEF">
        <w:t>,</w:t>
      </w:r>
      <w:r w:rsidR="00975717" w:rsidRPr="00374BEF">
        <w:t xml:space="preserve"> </w:t>
      </w:r>
      <w:r w:rsidR="009639F0" w:rsidRPr="00374BEF">
        <w:t>calculadas</w:t>
      </w:r>
      <w:r w:rsidR="009639F0">
        <w:t xml:space="preserve"> en los siguientes escenarios</w:t>
      </w:r>
      <w:r w:rsidR="00C85561" w:rsidRPr="00A93CEF">
        <w:t>:</w:t>
      </w:r>
    </w:p>
    <w:p w14:paraId="5AAE16B2" w14:textId="77777777" w:rsidR="00CA4778" w:rsidRDefault="00CA4778" w:rsidP="00A75EBC"/>
    <w:p w14:paraId="4DC027EE" w14:textId="762BDB3A" w:rsidR="00CA4778" w:rsidRDefault="0059319F" w:rsidP="00B047AC">
      <w:pPr>
        <w:pStyle w:val="Prrafodelista"/>
        <w:numPr>
          <w:ilvl w:val="0"/>
          <w:numId w:val="15"/>
        </w:numPr>
        <w:ind w:left="284" w:hanging="284"/>
      </w:pPr>
      <w:r>
        <w:t>Choque paralelo hacia arriba</w:t>
      </w:r>
      <w:r w:rsidR="003728A1">
        <w:t>**</w:t>
      </w:r>
    </w:p>
    <w:p w14:paraId="6318545B" w14:textId="5DB8B159" w:rsidR="0059319F" w:rsidRDefault="0059319F" w:rsidP="00B047AC">
      <w:pPr>
        <w:pStyle w:val="Prrafodelista"/>
        <w:numPr>
          <w:ilvl w:val="0"/>
          <w:numId w:val="15"/>
        </w:numPr>
        <w:ind w:left="284" w:hanging="284"/>
      </w:pPr>
      <w:r>
        <w:t>Choque paralelo hacia abajo</w:t>
      </w:r>
      <w:r w:rsidR="003728A1">
        <w:t>**</w:t>
      </w:r>
    </w:p>
    <w:p w14:paraId="6B12D3E3" w14:textId="55B4E21A" w:rsidR="0059319F" w:rsidRDefault="00985760" w:rsidP="00B047AC">
      <w:pPr>
        <w:pStyle w:val="Prrafodelista"/>
        <w:numPr>
          <w:ilvl w:val="0"/>
          <w:numId w:val="15"/>
        </w:numPr>
        <w:ind w:left="284" w:hanging="284"/>
      </w:pPr>
      <w:r>
        <w:t>Choque de inclinación</w:t>
      </w:r>
      <w:r w:rsidR="00EF79B5">
        <w:t xml:space="preserve"> (tasas de corto plazo </w:t>
      </w:r>
      <w:r w:rsidR="001F482A">
        <w:t xml:space="preserve">hacia abajo y de largo plazo hacia </w:t>
      </w:r>
      <w:r w:rsidR="00FE7622">
        <w:t>arriba) *</w:t>
      </w:r>
      <w:r w:rsidR="003728A1">
        <w:t>**</w:t>
      </w:r>
    </w:p>
    <w:p w14:paraId="3952B455" w14:textId="65F0EF6D" w:rsidR="00985760" w:rsidRDefault="00985760" w:rsidP="00B047AC">
      <w:pPr>
        <w:pStyle w:val="Prrafodelista"/>
        <w:numPr>
          <w:ilvl w:val="0"/>
          <w:numId w:val="15"/>
        </w:numPr>
        <w:ind w:left="284" w:hanging="284"/>
      </w:pPr>
      <w:r>
        <w:t>Choque de aplanamiento</w:t>
      </w:r>
      <w:r w:rsidR="001F482A">
        <w:t xml:space="preserve"> (tasas de corto plazo hacia arriba y de largo plazo hacia </w:t>
      </w:r>
      <w:r w:rsidR="00FE7622">
        <w:t>abajo) *</w:t>
      </w:r>
      <w:r w:rsidR="003728A1">
        <w:t>**</w:t>
      </w:r>
    </w:p>
    <w:p w14:paraId="761C871F" w14:textId="1D214B84" w:rsidR="00985760" w:rsidRDefault="00EF79B5" w:rsidP="00B047AC">
      <w:pPr>
        <w:pStyle w:val="Prrafodelista"/>
        <w:numPr>
          <w:ilvl w:val="0"/>
          <w:numId w:val="15"/>
        </w:numPr>
        <w:ind w:left="284" w:hanging="284"/>
      </w:pPr>
      <w:r>
        <w:t>Choque hacia arriba de corto plazo</w:t>
      </w:r>
      <w:r w:rsidR="003728A1">
        <w:t>***</w:t>
      </w:r>
    </w:p>
    <w:p w14:paraId="23B37946" w14:textId="3580759F" w:rsidR="00EF79B5" w:rsidRPr="00C34F4F" w:rsidRDefault="00EF79B5" w:rsidP="00B047AC">
      <w:pPr>
        <w:pStyle w:val="Prrafodelista"/>
        <w:numPr>
          <w:ilvl w:val="0"/>
          <w:numId w:val="15"/>
        </w:numPr>
        <w:ind w:left="284" w:hanging="284"/>
      </w:pPr>
      <w:r>
        <w:t xml:space="preserve">Choque hacia </w:t>
      </w:r>
      <w:r w:rsidR="00C23D41">
        <w:t>a</w:t>
      </w:r>
      <w:r>
        <w:t>bajo de corto plazo</w:t>
      </w:r>
      <w:r w:rsidR="003728A1">
        <w:t>***</w:t>
      </w:r>
    </w:p>
    <w:p w14:paraId="7A3A03C3" w14:textId="4340BA68" w:rsidR="00F56B9F" w:rsidRPr="002D42B9" w:rsidRDefault="005D7D82" w:rsidP="00A75EBC">
      <w:pPr>
        <w:rPr>
          <w:sz w:val="14"/>
          <w:szCs w:val="14"/>
        </w:rPr>
      </w:pPr>
      <w:r>
        <w:rPr>
          <w:sz w:val="14"/>
          <w:szCs w:val="14"/>
        </w:rPr>
        <w:t xml:space="preserve">                   </w:t>
      </w:r>
      <w:r w:rsidR="003728A1" w:rsidRPr="007A3712">
        <w:rPr>
          <w:sz w:val="14"/>
          <w:szCs w:val="14"/>
        </w:rPr>
        <w:t xml:space="preserve">**Aplica para VEP y </w:t>
      </w:r>
      <w:r w:rsidR="00042B1B" w:rsidRPr="007A3712">
        <w:rPr>
          <w:sz w:val="14"/>
          <w:szCs w:val="14"/>
        </w:rPr>
        <w:t>MNI</w:t>
      </w:r>
      <w:r w:rsidR="00042B1B">
        <w:rPr>
          <w:sz w:val="14"/>
          <w:szCs w:val="14"/>
        </w:rPr>
        <w:t xml:space="preserve"> /</w:t>
      </w:r>
      <w:r w:rsidR="003728A1" w:rsidRPr="007A3712">
        <w:rPr>
          <w:sz w:val="14"/>
          <w:szCs w:val="14"/>
        </w:rPr>
        <w:t xml:space="preserve"> *** Aplica para VEP</w:t>
      </w:r>
      <w:r w:rsidR="00CB71BB">
        <w:rPr>
          <w:sz w:val="14"/>
          <w:szCs w:val="14"/>
        </w:rPr>
        <w:t>.</w:t>
      </w:r>
    </w:p>
    <w:p w14:paraId="0B9416A6" w14:textId="77777777" w:rsidR="00835609" w:rsidRPr="00D933D6" w:rsidRDefault="00835609" w:rsidP="00A75EBC"/>
    <w:p w14:paraId="426248BC" w14:textId="216212C1" w:rsidR="0079131C" w:rsidRPr="00A93CEF" w:rsidRDefault="0079131C" w:rsidP="00503F37">
      <w:r w:rsidRPr="00A93CEF">
        <w:t xml:space="preserve">Para cada uno de los </w:t>
      </w:r>
      <w:r w:rsidR="00446628">
        <w:t xml:space="preserve">seis </w:t>
      </w:r>
      <w:r w:rsidRPr="00A93CEF">
        <w:t xml:space="preserve">escenarios de choque de </w:t>
      </w:r>
      <w:r w:rsidR="00D51A70" w:rsidRPr="00A93CEF">
        <w:t>las t</w:t>
      </w:r>
      <w:r w:rsidRPr="00A93CEF">
        <w:t xml:space="preserve">asas de interés prescritos, </w:t>
      </w:r>
      <w:r w:rsidR="00D51A70" w:rsidRPr="00A93CEF">
        <w:t xml:space="preserve">la entidad </w:t>
      </w:r>
      <w:r w:rsidRPr="00A93CEF">
        <w:t xml:space="preserve">debe informar para el período actual </w:t>
      </w:r>
      <w:r w:rsidR="00D51A70" w:rsidRPr="00A93CEF">
        <w:t xml:space="preserve">(t) </w:t>
      </w:r>
      <w:r w:rsidRPr="00A93CEF">
        <w:t>y para el período anterior</w:t>
      </w:r>
      <w:r w:rsidR="00D51A70" w:rsidRPr="00A93CEF">
        <w:t xml:space="preserve"> (t-1)</w:t>
      </w:r>
      <w:r w:rsidRPr="00A93CEF">
        <w:t>:</w:t>
      </w:r>
    </w:p>
    <w:p w14:paraId="6D187273" w14:textId="77777777" w:rsidR="00D51A70" w:rsidRPr="00A93CEF" w:rsidRDefault="00D51A70" w:rsidP="00503F37"/>
    <w:p w14:paraId="4F8D1B2E" w14:textId="120A125F" w:rsidR="0079131C" w:rsidRPr="00427440" w:rsidRDefault="0079131C" w:rsidP="00B047AC">
      <w:pPr>
        <w:pStyle w:val="Prrafodelista"/>
        <w:numPr>
          <w:ilvl w:val="0"/>
          <w:numId w:val="27"/>
        </w:numPr>
        <w:ind w:left="567" w:hanging="283"/>
      </w:pPr>
      <w:r w:rsidRPr="00A93CEF">
        <w:t xml:space="preserve">El cambio en el valor económico del patrimonio </w:t>
      </w:r>
      <w:r w:rsidR="0085553D" w:rsidRPr="00A93CEF">
        <w:t xml:space="preserve">(∆VEP) </w:t>
      </w:r>
      <w:r w:rsidRPr="00A93CEF">
        <w:t xml:space="preserve">basado </w:t>
      </w:r>
      <w:r w:rsidR="0085553D" w:rsidRPr="00A93CEF">
        <w:t xml:space="preserve">en </w:t>
      </w:r>
      <w:r w:rsidR="00C17057">
        <w:t xml:space="preserve">la </w:t>
      </w:r>
      <w:r w:rsidR="00C17057" w:rsidRPr="00427440">
        <w:t>metodología</w:t>
      </w:r>
      <w:r w:rsidR="0085553D" w:rsidRPr="00427440">
        <w:t xml:space="preserve"> estándar</w:t>
      </w:r>
      <w:r w:rsidRPr="00427440">
        <w:t>.</w:t>
      </w:r>
    </w:p>
    <w:p w14:paraId="640ADF7D" w14:textId="7741C86E" w:rsidR="00C63FD3" w:rsidRPr="00A93CEF" w:rsidRDefault="0079131C" w:rsidP="00F409B7">
      <w:pPr>
        <w:pStyle w:val="Prrafodelista"/>
        <w:numPr>
          <w:ilvl w:val="0"/>
          <w:numId w:val="27"/>
        </w:numPr>
        <w:ind w:left="567" w:hanging="283"/>
      </w:pPr>
      <w:r w:rsidRPr="00A93CEF">
        <w:t>El cambio en el MNI</w:t>
      </w:r>
      <w:r w:rsidR="00071602" w:rsidRPr="00A93CEF">
        <w:t xml:space="preserve"> (∆MNI)</w:t>
      </w:r>
      <w:r w:rsidRPr="00A93CEF">
        <w:t xml:space="preserve"> proyectado durante un período de 12 meses renovable</w:t>
      </w:r>
      <w:r w:rsidR="00272485">
        <w:t>,</w:t>
      </w:r>
      <w:r w:rsidRPr="00A93CEF">
        <w:t xml:space="preserve"> prospectivo en comparación con las proyecciones de 12 meses, utilizando</w:t>
      </w:r>
      <w:r w:rsidR="00964DF1">
        <w:t>,</w:t>
      </w:r>
      <w:r w:rsidRPr="00A93CEF">
        <w:t xml:space="preserve"> </w:t>
      </w:r>
      <w:r w:rsidR="00A15468">
        <w:t xml:space="preserve">como ya se indicó </w:t>
      </w:r>
      <w:r w:rsidR="00F61C24">
        <w:t>antes</w:t>
      </w:r>
      <w:r w:rsidR="00964DF1">
        <w:t>,</w:t>
      </w:r>
      <w:r w:rsidR="00F61C24">
        <w:t xml:space="preserve"> </w:t>
      </w:r>
      <w:r w:rsidR="00A15468">
        <w:t>un</w:t>
      </w:r>
      <w:r w:rsidRPr="00A93CEF">
        <w:t xml:space="preserve"> balance constante y </w:t>
      </w:r>
      <w:r w:rsidR="00EF2811">
        <w:t>los</w:t>
      </w:r>
      <w:r w:rsidRPr="00A93CEF">
        <w:t xml:space="preserve"> </w:t>
      </w:r>
      <w:r w:rsidR="00272485">
        <w:t xml:space="preserve">dos </w:t>
      </w:r>
      <w:r w:rsidRPr="00A93CEF">
        <w:t>choque</w:t>
      </w:r>
      <w:r w:rsidR="00EF2811">
        <w:t>s</w:t>
      </w:r>
      <w:r w:rsidRPr="00A93CEF">
        <w:t xml:space="preserve"> </w:t>
      </w:r>
      <w:r w:rsidR="00CA3B50">
        <w:t>instantáneos</w:t>
      </w:r>
      <w:r w:rsidR="008E49FE">
        <w:t xml:space="preserve"> a la</w:t>
      </w:r>
      <w:r w:rsidR="004933F8">
        <w:t>s</w:t>
      </w:r>
      <w:r w:rsidR="008E49FE">
        <w:t xml:space="preserve"> </w:t>
      </w:r>
      <w:r w:rsidR="008E3472">
        <w:t>tasas prescritas</w:t>
      </w:r>
      <w:r w:rsidRPr="00A93CEF">
        <w:t>.</w:t>
      </w:r>
    </w:p>
    <w:p w14:paraId="0F5A69AC" w14:textId="77777777" w:rsidR="00835609" w:rsidRDefault="00835609" w:rsidP="00A75EBC"/>
    <w:p w14:paraId="7D9E5280" w14:textId="64905003" w:rsidR="001B1208" w:rsidRPr="00A93CEF" w:rsidRDefault="00C63FD3" w:rsidP="00A75EBC">
      <w:r w:rsidRPr="00A93CEF">
        <w:t>El tamaño en puntos básicos (pb) de la</w:t>
      </w:r>
      <w:r w:rsidR="00C02AF8">
        <w:t>s</w:t>
      </w:r>
      <w:r w:rsidRPr="00A93CEF">
        <w:t xml:space="preserve"> perturbaci</w:t>
      </w:r>
      <w:r w:rsidR="00C02AF8">
        <w:t xml:space="preserve">ones a </w:t>
      </w:r>
      <w:r w:rsidRPr="00A93CEF">
        <w:t>la</w:t>
      </w:r>
      <w:r w:rsidR="00A341D9" w:rsidRPr="00A93CEF">
        <w:t>s</w:t>
      </w:r>
      <w:r w:rsidRPr="00A93CEF">
        <w:t xml:space="preserve"> tasa</w:t>
      </w:r>
      <w:r w:rsidR="00A341D9" w:rsidRPr="00A93CEF">
        <w:t>s</w:t>
      </w:r>
      <w:r w:rsidRPr="00A93CEF">
        <w:t xml:space="preserve"> de interés se proporciona en</w:t>
      </w:r>
      <w:r w:rsidR="00B13E8A" w:rsidRPr="00A93CEF">
        <w:t xml:space="preserve"> la </w:t>
      </w:r>
      <w:r w:rsidR="00C95145" w:rsidRPr="00A93CEF">
        <w:t xml:space="preserve">siguiente </w:t>
      </w:r>
      <w:r w:rsidR="005140EF" w:rsidRPr="00A93CEF">
        <w:t>T</w:t>
      </w:r>
      <w:r w:rsidR="00C95145" w:rsidRPr="00A93CEF">
        <w:t>abla</w:t>
      </w:r>
      <w:r w:rsidR="00624154" w:rsidRPr="00A93CEF">
        <w:t>:</w:t>
      </w:r>
    </w:p>
    <w:p w14:paraId="0AB0621F" w14:textId="2ABEB300" w:rsidR="00FD30B9" w:rsidRDefault="00FD30B9" w:rsidP="00A75EBC"/>
    <w:p w14:paraId="3758DBC8" w14:textId="018B713F" w:rsidR="00C63FD3" w:rsidRPr="00503F37" w:rsidRDefault="00B13E8A" w:rsidP="00A75EBC">
      <w:pPr>
        <w:rPr>
          <w:b/>
          <w:bCs/>
        </w:rPr>
      </w:pPr>
      <w:r w:rsidRPr="00503F37">
        <w:rPr>
          <w:b/>
          <w:bCs/>
        </w:rPr>
        <w:t xml:space="preserve">Tabla </w:t>
      </w:r>
      <w:r w:rsidR="007C7798" w:rsidRPr="00503F37">
        <w:rPr>
          <w:b/>
          <w:bCs/>
        </w:rPr>
        <w:t>1</w:t>
      </w:r>
      <w:r w:rsidR="00C63FD3" w:rsidRPr="00503F37">
        <w:rPr>
          <w:b/>
          <w:bCs/>
        </w:rPr>
        <w:t>: Tamaño</w:t>
      </w:r>
      <w:r w:rsidR="00CB0B22">
        <w:rPr>
          <w:b/>
          <w:bCs/>
        </w:rPr>
        <w:t xml:space="preserve"> en pb</w:t>
      </w:r>
      <w:r w:rsidR="00C63FD3" w:rsidRPr="00503F37">
        <w:rPr>
          <w:b/>
          <w:bCs/>
        </w:rPr>
        <w:t xml:space="preserve"> de las perturbaciones de las tasas de interés </w:t>
      </w:r>
      <m:oMath>
        <m:r>
          <m:rPr>
            <m:sty m:val="bi"/>
          </m:rPr>
          <w:rPr>
            <w:rFonts w:ascii="Cambria Math" w:hAnsi="Cambria Math"/>
          </w:rPr>
          <m:t>S</m:t>
        </m:r>
      </m:oMath>
    </w:p>
    <w:p w14:paraId="2B621A76" w14:textId="4AD3B19A" w:rsidR="00722E33" w:rsidRDefault="00722E33" w:rsidP="00A75EBC"/>
    <w:tbl>
      <w:tblPr>
        <w:tblW w:w="9801" w:type="dxa"/>
        <w:tblCellMar>
          <w:left w:w="70" w:type="dxa"/>
          <w:right w:w="70" w:type="dxa"/>
        </w:tblCellMar>
        <w:tblLook w:val="04A0" w:firstRow="1" w:lastRow="0" w:firstColumn="1" w:lastColumn="0" w:noHBand="0" w:noVBand="1"/>
      </w:tblPr>
      <w:tblGrid>
        <w:gridCol w:w="1124"/>
        <w:gridCol w:w="709"/>
        <w:gridCol w:w="628"/>
        <w:gridCol w:w="734"/>
        <w:gridCol w:w="734"/>
        <w:gridCol w:w="734"/>
        <w:gridCol w:w="734"/>
        <w:gridCol w:w="734"/>
        <w:gridCol w:w="734"/>
        <w:gridCol w:w="734"/>
        <w:gridCol w:w="734"/>
        <w:gridCol w:w="734"/>
        <w:gridCol w:w="734"/>
      </w:tblGrid>
      <w:tr w:rsidR="00916778" w:rsidRPr="005230AD" w14:paraId="37E939B4" w14:textId="0580A029" w:rsidTr="00547119">
        <w:trPr>
          <w:trHeight w:val="215"/>
        </w:trPr>
        <w:tc>
          <w:tcPr>
            <w:tcW w:w="1124" w:type="dxa"/>
            <w:tcBorders>
              <w:top w:val="single" w:sz="8" w:space="0" w:color="auto"/>
              <w:left w:val="single" w:sz="8" w:space="0" w:color="auto"/>
              <w:bottom w:val="single" w:sz="8" w:space="0" w:color="auto"/>
              <w:right w:val="nil"/>
            </w:tcBorders>
            <w:shd w:val="clear" w:color="000000" w:fill="FFFFFF"/>
            <w:noWrap/>
            <w:vAlign w:val="center"/>
            <w:hideMark/>
          </w:tcPr>
          <w:p w14:paraId="178D96D1" w14:textId="0431ADD2" w:rsidR="005230AD" w:rsidRPr="005230AD" w:rsidRDefault="005230AD" w:rsidP="00A75EBC">
            <w:pPr>
              <w:rPr>
                <w:lang w:eastAsia="es-CO"/>
              </w:rPr>
            </w:pPr>
          </w:p>
        </w:tc>
        <w:tc>
          <w:tcPr>
            <w:tcW w:w="70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DF802E" w14:textId="3F097CB9" w:rsidR="005230AD" w:rsidRPr="00B81B30" w:rsidRDefault="005230AD" w:rsidP="00A75EBC">
            <w:pPr>
              <w:rPr>
                <w:b/>
                <w:bCs/>
                <w:lang w:eastAsia="es-CO"/>
              </w:rPr>
            </w:pPr>
            <w:r w:rsidRPr="00B81B30">
              <w:rPr>
                <w:b/>
                <w:bCs/>
                <w:lang w:eastAsia="es-CO"/>
              </w:rPr>
              <w:t>COP</w:t>
            </w:r>
            <w:r w:rsidR="00916363" w:rsidRPr="00B81B30">
              <w:rPr>
                <w:b/>
                <w:bCs/>
                <w:lang w:eastAsia="es-CO"/>
              </w:rPr>
              <w:t>*</w:t>
            </w:r>
          </w:p>
        </w:tc>
        <w:tc>
          <w:tcPr>
            <w:tcW w:w="628" w:type="dxa"/>
            <w:tcBorders>
              <w:top w:val="single" w:sz="8" w:space="0" w:color="auto"/>
              <w:left w:val="nil"/>
              <w:bottom w:val="single" w:sz="8" w:space="0" w:color="auto"/>
              <w:right w:val="single" w:sz="8" w:space="0" w:color="auto"/>
            </w:tcBorders>
            <w:shd w:val="clear" w:color="000000" w:fill="FFFFFF"/>
            <w:noWrap/>
            <w:vAlign w:val="center"/>
          </w:tcPr>
          <w:p w14:paraId="72453DA6" w14:textId="2DBFC4F5" w:rsidR="005230AD" w:rsidRPr="00B81B30" w:rsidRDefault="000C1162" w:rsidP="00A75EBC">
            <w:pPr>
              <w:rPr>
                <w:b/>
                <w:bCs/>
                <w:lang w:eastAsia="es-CO"/>
              </w:rPr>
            </w:pPr>
            <w:r>
              <w:rPr>
                <w:b/>
                <w:bCs/>
                <w:lang w:eastAsia="es-CO"/>
              </w:rPr>
              <w:t>UVR*</w:t>
            </w:r>
          </w:p>
        </w:tc>
        <w:tc>
          <w:tcPr>
            <w:tcW w:w="734" w:type="dxa"/>
            <w:tcBorders>
              <w:top w:val="single" w:sz="8" w:space="0" w:color="auto"/>
              <w:left w:val="nil"/>
              <w:bottom w:val="single" w:sz="8" w:space="0" w:color="auto"/>
              <w:right w:val="nil"/>
            </w:tcBorders>
            <w:shd w:val="clear" w:color="auto" w:fill="auto"/>
            <w:noWrap/>
            <w:vAlign w:val="center"/>
          </w:tcPr>
          <w:p w14:paraId="655AFA72" w14:textId="59EF1AA5" w:rsidR="005230AD" w:rsidRPr="00B81B30" w:rsidRDefault="000C1162" w:rsidP="00A75EBC">
            <w:pPr>
              <w:rPr>
                <w:b/>
                <w:bCs/>
                <w:lang w:eastAsia="es-CO"/>
              </w:rPr>
            </w:pPr>
            <w:r w:rsidRPr="00B81B30">
              <w:rPr>
                <w:b/>
                <w:bCs/>
                <w:lang w:eastAsia="es-CO"/>
              </w:rPr>
              <w:t>ARS</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46CC0A" w14:textId="44DE08DA" w:rsidR="005230AD" w:rsidRPr="00B81B30" w:rsidRDefault="000C1162" w:rsidP="00A75EBC">
            <w:pPr>
              <w:rPr>
                <w:b/>
                <w:bCs/>
                <w:lang w:eastAsia="es-CO"/>
              </w:rPr>
            </w:pPr>
            <w:r w:rsidRPr="00B81B30">
              <w:rPr>
                <w:b/>
                <w:bCs/>
                <w:lang w:eastAsia="es-CO"/>
              </w:rPr>
              <w:t>AUD</w:t>
            </w:r>
          </w:p>
        </w:tc>
        <w:tc>
          <w:tcPr>
            <w:tcW w:w="734" w:type="dxa"/>
            <w:tcBorders>
              <w:top w:val="single" w:sz="8" w:space="0" w:color="auto"/>
              <w:left w:val="nil"/>
              <w:bottom w:val="single" w:sz="8" w:space="0" w:color="auto"/>
              <w:right w:val="single" w:sz="8" w:space="0" w:color="auto"/>
            </w:tcBorders>
            <w:shd w:val="clear" w:color="auto" w:fill="auto"/>
            <w:noWrap/>
            <w:vAlign w:val="center"/>
          </w:tcPr>
          <w:p w14:paraId="2D0E99AA" w14:textId="15067607" w:rsidR="005230AD" w:rsidRPr="00B81B30" w:rsidRDefault="000C1162" w:rsidP="00A75EBC">
            <w:pPr>
              <w:rPr>
                <w:b/>
                <w:bCs/>
                <w:lang w:eastAsia="es-CO"/>
              </w:rPr>
            </w:pPr>
            <w:r w:rsidRPr="00B81B30">
              <w:rPr>
                <w:b/>
                <w:bCs/>
                <w:lang w:eastAsia="es-CO"/>
              </w:rPr>
              <w:t>BRL</w:t>
            </w:r>
          </w:p>
        </w:tc>
        <w:tc>
          <w:tcPr>
            <w:tcW w:w="734" w:type="dxa"/>
            <w:tcBorders>
              <w:top w:val="single" w:sz="8" w:space="0" w:color="auto"/>
              <w:left w:val="nil"/>
              <w:bottom w:val="single" w:sz="8" w:space="0" w:color="auto"/>
              <w:right w:val="nil"/>
            </w:tcBorders>
            <w:shd w:val="clear" w:color="auto" w:fill="auto"/>
            <w:noWrap/>
            <w:vAlign w:val="center"/>
          </w:tcPr>
          <w:p w14:paraId="2429D651" w14:textId="33EAB46C" w:rsidR="005230AD" w:rsidRPr="00B81B30" w:rsidRDefault="000C1162" w:rsidP="00A75EBC">
            <w:pPr>
              <w:rPr>
                <w:b/>
                <w:bCs/>
                <w:lang w:eastAsia="es-CO"/>
              </w:rPr>
            </w:pPr>
            <w:r w:rsidRPr="00B81B30">
              <w:rPr>
                <w:b/>
                <w:bCs/>
                <w:lang w:eastAsia="es-CO"/>
              </w:rPr>
              <w:t>CAD</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40FA6CE" w14:textId="4E1870D2" w:rsidR="005230AD" w:rsidRPr="00B81B30" w:rsidRDefault="000C1162" w:rsidP="00A75EBC">
            <w:pPr>
              <w:rPr>
                <w:b/>
                <w:bCs/>
                <w:lang w:eastAsia="es-CO"/>
              </w:rPr>
            </w:pPr>
            <w:r w:rsidRPr="00B81B30">
              <w:rPr>
                <w:b/>
                <w:bCs/>
                <w:lang w:eastAsia="es-CO"/>
              </w:rPr>
              <w:t>CHF</w:t>
            </w:r>
          </w:p>
        </w:tc>
        <w:tc>
          <w:tcPr>
            <w:tcW w:w="734" w:type="dxa"/>
            <w:tcBorders>
              <w:top w:val="single" w:sz="8" w:space="0" w:color="auto"/>
              <w:left w:val="nil"/>
              <w:bottom w:val="single" w:sz="8" w:space="0" w:color="auto"/>
              <w:right w:val="nil"/>
            </w:tcBorders>
            <w:shd w:val="clear" w:color="auto" w:fill="auto"/>
            <w:noWrap/>
            <w:vAlign w:val="center"/>
          </w:tcPr>
          <w:p w14:paraId="177F34AF" w14:textId="1AACFD1C" w:rsidR="005230AD" w:rsidRPr="00B81B30" w:rsidRDefault="000C1162" w:rsidP="00A75EBC">
            <w:pPr>
              <w:rPr>
                <w:b/>
                <w:bCs/>
                <w:lang w:eastAsia="es-CO"/>
              </w:rPr>
            </w:pPr>
            <w:r w:rsidRPr="00B81B30">
              <w:rPr>
                <w:b/>
                <w:bCs/>
                <w:lang w:eastAsia="es-CO"/>
              </w:rPr>
              <w:t>CNY</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614DD31" w14:textId="7976E652" w:rsidR="005230AD" w:rsidRPr="00B81B30" w:rsidRDefault="000C1162" w:rsidP="00A75EBC">
            <w:pPr>
              <w:rPr>
                <w:b/>
                <w:bCs/>
                <w:lang w:eastAsia="es-CO"/>
              </w:rPr>
            </w:pPr>
            <w:r w:rsidRPr="00B81B30">
              <w:rPr>
                <w:b/>
                <w:bCs/>
                <w:lang w:eastAsia="es-CO"/>
              </w:rPr>
              <w:t>EUR</w:t>
            </w:r>
          </w:p>
        </w:tc>
        <w:tc>
          <w:tcPr>
            <w:tcW w:w="734" w:type="dxa"/>
            <w:tcBorders>
              <w:top w:val="single" w:sz="8" w:space="0" w:color="auto"/>
              <w:left w:val="nil"/>
              <w:bottom w:val="single" w:sz="8" w:space="0" w:color="auto"/>
              <w:right w:val="nil"/>
            </w:tcBorders>
            <w:shd w:val="clear" w:color="auto" w:fill="auto"/>
            <w:noWrap/>
            <w:vAlign w:val="center"/>
          </w:tcPr>
          <w:p w14:paraId="69765C71" w14:textId="616EDF1C" w:rsidR="005230AD" w:rsidRPr="00B81B30" w:rsidRDefault="000C1162" w:rsidP="00A75EBC">
            <w:pPr>
              <w:rPr>
                <w:b/>
                <w:bCs/>
                <w:lang w:eastAsia="es-CO"/>
              </w:rPr>
            </w:pPr>
            <w:r w:rsidRPr="00B81B30">
              <w:rPr>
                <w:b/>
                <w:bCs/>
                <w:lang w:eastAsia="es-CO"/>
              </w:rPr>
              <w:t>GBP</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CC54B5D" w14:textId="757210CE" w:rsidR="005230AD" w:rsidRPr="00B81B30" w:rsidRDefault="000C1162" w:rsidP="00A75EBC">
            <w:pPr>
              <w:rPr>
                <w:b/>
                <w:bCs/>
                <w:lang w:eastAsia="es-CO"/>
              </w:rPr>
            </w:pPr>
            <w:r w:rsidRPr="00B81B30">
              <w:rPr>
                <w:b/>
                <w:bCs/>
                <w:lang w:eastAsia="es-CO"/>
              </w:rPr>
              <w:t>HKD</w:t>
            </w:r>
          </w:p>
        </w:tc>
        <w:tc>
          <w:tcPr>
            <w:tcW w:w="734" w:type="dxa"/>
            <w:tcBorders>
              <w:top w:val="single" w:sz="8" w:space="0" w:color="auto"/>
              <w:left w:val="single" w:sz="8" w:space="0" w:color="auto"/>
              <w:bottom w:val="single" w:sz="8" w:space="0" w:color="auto"/>
              <w:right w:val="single" w:sz="8" w:space="0" w:color="auto"/>
            </w:tcBorders>
            <w:vAlign w:val="center"/>
          </w:tcPr>
          <w:p w14:paraId="5FFA6E1F" w14:textId="33FBB4A9" w:rsidR="000C1162" w:rsidRPr="00B81B30" w:rsidRDefault="000C1162" w:rsidP="000C1162">
            <w:pPr>
              <w:rPr>
                <w:b/>
                <w:bCs/>
                <w:lang w:eastAsia="es-CO"/>
              </w:rPr>
            </w:pPr>
            <w:r w:rsidRPr="00B81B30">
              <w:rPr>
                <w:b/>
                <w:bCs/>
                <w:lang w:eastAsia="es-CO"/>
              </w:rPr>
              <w:t>IDR</w:t>
            </w:r>
          </w:p>
        </w:tc>
      </w:tr>
      <w:tr w:rsidR="005230AD" w:rsidRPr="005230AD" w14:paraId="77278E3D" w14:textId="758959F7" w:rsidTr="00547119">
        <w:trPr>
          <w:trHeight w:val="228"/>
        </w:trPr>
        <w:tc>
          <w:tcPr>
            <w:tcW w:w="1124" w:type="dxa"/>
            <w:tcBorders>
              <w:top w:val="nil"/>
              <w:left w:val="single" w:sz="8" w:space="0" w:color="auto"/>
              <w:bottom w:val="nil"/>
              <w:right w:val="nil"/>
            </w:tcBorders>
            <w:shd w:val="clear" w:color="000000" w:fill="FFFFFF"/>
            <w:noWrap/>
            <w:vAlign w:val="bottom"/>
            <w:hideMark/>
          </w:tcPr>
          <w:p w14:paraId="09577F3E" w14:textId="77777777" w:rsidR="005230AD" w:rsidRPr="00B81B30" w:rsidRDefault="005230AD" w:rsidP="00A75EBC">
            <w:pPr>
              <w:rPr>
                <w:b/>
                <w:bCs/>
                <w:lang w:eastAsia="es-CO"/>
              </w:rPr>
            </w:pPr>
            <w:r w:rsidRPr="00B81B30">
              <w:rPr>
                <w:b/>
                <w:bCs/>
                <w:lang w:eastAsia="es-CO"/>
              </w:rPr>
              <w:t xml:space="preserve">S0 - Paralelo </w:t>
            </w:r>
          </w:p>
        </w:tc>
        <w:tc>
          <w:tcPr>
            <w:tcW w:w="709" w:type="dxa"/>
            <w:tcBorders>
              <w:top w:val="nil"/>
              <w:left w:val="single" w:sz="8" w:space="0" w:color="auto"/>
              <w:bottom w:val="nil"/>
              <w:right w:val="single" w:sz="8" w:space="0" w:color="auto"/>
            </w:tcBorders>
            <w:shd w:val="clear" w:color="000000" w:fill="FFFFFF"/>
            <w:noWrap/>
            <w:vAlign w:val="bottom"/>
            <w:hideMark/>
          </w:tcPr>
          <w:p w14:paraId="7CB9209F" w14:textId="545D7438" w:rsidR="005230AD" w:rsidRPr="005230AD" w:rsidRDefault="00086B26" w:rsidP="00A75EBC">
            <w:pPr>
              <w:rPr>
                <w:lang w:eastAsia="es-CO"/>
              </w:rPr>
            </w:pPr>
            <w:r>
              <w:rPr>
                <w:lang w:eastAsia="es-CO"/>
              </w:rPr>
              <w:t>400</w:t>
            </w:r>
          </w:p>
        </w:tc>
        <w:tc>
          <w:tcPr>
            <w:tcW w:w="628" w:type="dxa"/>
            <w:tcBorders>
              <w:top w:val="nil"/>
              <w:left w:val="nil"/>
              <w:bottom w:val="nil"/>
              <w:right w:val="single" w:sz="8" w:space="0" w:color="auto"/>
            </w:tcBorders>
            <w:shd w:val="clear" w:color="000000" w:fill="FFFFFF"/>
            <w:noWrap/>
            <w:vAlign w:val="bottom"/>
          </w:tcPr>
          <w:p w14:paraId="65256F51" w14:textId="5E576036" w:rsidR="005230AD" w:rsidRPr="005230AD" w:rsidRDefault="000C1162" w:rsidP="00A75EBC">
            <w:pPr>
              <w:rPr>
                <w:lang w:eastAsia="es-CO"/>
              </w:rPr>
            </w:pPr>
            <w:r>
              <w:rPr>
                <w:lang w:eastAsia="es-CO"/>
              </w:rPr>
              <w:t>200</w:t>
            </w:r>
          </w:p>
        </w:tc>
        <w:tc>
          <w:tcPr>
            <w:tcW w:w="734" w:type="dxa"/>
            <w:tcBorders>
              <w:top w:val="nil"/>
              <w:left w:val="nil"/>
              <w:bottom w:val="nil"/>
              <w:right w:val="nil"/>
            </w:tcBorders>
            <w:shd w:val="clear" w:color="auto" w:fill="auto"/>
            <w:noWrap/>
            <w:vAlign w:val="bottom"/>
          </w:tcPr>
          <w:p w14:paraId="682C647E" w14:textId="5A4E7AC1" w:rsidR="005230AD" w:rsidRPr="005230AD" w:rsidRDefault="000C1162" w:rsidP="00A75EBC">
            <w:pPr>
              <w:rPr>
                <w:lang w:eastAsia="es-CO"/>
              </w:rPr>
            </w:pPr>
            <w:r w:rsidRPr="005230AD">
              <w:rPr>
                <w:lang w:eastAsia="es-CO"/>
              </w:rPr>
              <w:t>400</w:t>
            </w:r>
          </w:p>
        </w:tc>
        <w:tc>
          <w:tcPr>
            <w:tcW w:w="734" w:type="dxa"/>
            <w:tcBorders>
              <w:top w:val="nil"/>
              <w:left w:val="single" w:sz="8" w:space="0" w:color="auto"/>
              <w:bottom w:val="nil"/>
              <w:right w:val="single" w:sz="8" w:space="0" w:color="auto"/>
            </w:tcBorders>
            <w:shd w:val="clear" w:color="auto" w:fill="auto"/>
            <w:noWrap/>
            <w:vAlign w:val="bottom"/>
          </w:tcPr>
          <w:p w14:paraId="0A182F76" w14:textId="0FC82345" w:rsidR="005230AD" w:rsidRPr="005230AD" w:rsidRDefault="000C1162"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tcPr>
          <w:p w14:paraId="5CE174BE" w14:textId="0BFDC9CA" w:rsidR="005230AD" w:rsidRPr="005230AD" w:rsidRDefault="000C1162" w:rsidP="00A75EBC">
            <w:pPr>
              <w:rPr>
                <w:lang w:eastAsia="es-CO"/>
              </w:rPr>
            </w:pPr>
            <w:r w:rsidRPr="005230AD">
              <w:rPr>
                <w:lang w:eastAsia="es-CO"/>
              </w:rPr>
              <w:t>400</w:t>
            </w:r>
          </w:p>
        </w:tc>
        <w:tc>
          <w:tcPr>
            <w:tcW w:w="734" w:type="dxa"/>
            <w:tcBorders>
              <w:top w:val="nil"/>
              <w:left w:val="nil"/>
              <w:bottom w:val="nil"/>
              <w:right w:val="nil"/>
            </w:tcBorders>
            <w:shd w:val="clear" w:color="auto" w:fill="auto"/>
            <w:noWrap/>
            <w:vAlign w:val="bottom"/>
          </w:tcPr>
          <w:p w14:paraId="504883AD" w14:textId="2232F4F2" w:rsidR="005230AD" w:rsidRPr="005230AD" w:rsidRDefault="000C1162" w:rsidP="00A75EBC">
            <w:pPr>
              <w:rPr>
                <w:lang w:eastAsia="es-CO"/>
              </w:rPr>
            </w:pPr>
            <w:r w:rsidRPr="005230AD">
              <w:rPr>
                <w:lang w:eastAsia="es-CO"/>
              </w:rPr>
              <w:t>200</w:t>
            </w:r>
          </w:p>
        </w:tc>
        <w:tc>
          <w:tcPr>
            <w:tcW w:w="734" w:type="dxa"/>
            <w:tcBorders>
              <w:top w:val="nil"/>
              <w:left w:val="single" w:sz="8" w:space="0" w:color="auto"/>
              <w:bottom w:val="nil"/>
              <w:right w:val="single" w:sz="8" w:space="0" w:color="auto"/>
            </w:tcBorders>
            <w:shd w:val="clear" w:color="auto" w:fill="auto"/>
            <w:noWrap/>
            <w:vAlign w:val="bottom"/>
          </w:tcPr>
          <w:p w14:paraId="08F057D9" w14:textId="17EBA1FC" w:rsidR="005230AD" w:rsidRPr="005230AD" w:rsidRDefault="000C1162" w:rsidP="00A75EBC">
            <w:pPr>
              <w:rPr>
                <w:lang w:eastAsia="es-CO"/>
              </w:rPr>
            </w:pPr>
            <w:r w:rsidRPr="005230AD">
              <w:rPr>
                <w:lang w:eastAsia="es-CO"/>
              </w:rPr>
              <w:t>100</w:t>
            </w:r>
          </w:p>
        </w:tc>
        <w:tc>
          <w:tcPr>
            <w:tcW w:w="734" w:type="dxa"/>
            <w:tcBorders>
              <w:top w:val="nil"/>
              <w:left w:val="nil"/>
              <w:bottom w:val="nil"/>
              <w:right w:val="nil"/>
            </w:tcBorders>
            <w:shd w:val="clear" w:color="auto" w:fill="auto"/>
            <w:noWrap/>
            <w:vAlign w:val="bottom"/>
          </w:tcPr>
          <w:p w14:paraId="0766C4B3" w14:textId="45B2119F" w:rsidR="005230AD" w:rsidRPr="005230AD" w:rsidRDefault="000C1162" w:rsidP="00A75EBC">
            <w:pPr>
              <w:rPr>
                <w:lang w:eastAsia="es-CO"/>
              </w:rPr>
            </w:pPr>
            <w:r w:rsidRPr="005230AD">
              <w:rPr>
                <w:lang w:eastAsia="es-CO"/>
              </w:rPr>
              <w:t>250</w:t>
            </w:r>
          </w:p>
        </w:tc>
        <w:tc>
          <w:tcPr>
            <w:tcW w:w="734" w:type="dxa"/>
            <w:tcBorders>
              <w:top w:val="nil"/>
              <w:left w:val="single" w:sz="8" w:space="0" w:color="auto"/>
              <w:bottom w:val="nil"/>
              <w:right w:val="single" w:sz="8" w:space="0" w:color="auto"/>
            </w:tcBorders>
            <w:shd w:val="clear" w:color="auto" w:fill="auto"/>
            <w:noWrap/>
            <w:vAlign w:val="bottom"/>
          </w:tcPr>
          <w:p w14:paraId="0C94C898" w14:textId="5B5AC8C4" w:rsidR="005230AD" w:rsidRPr="005230AD" w:rsidRDefault="000C1162" w:rsidP="00A75EBC">
            <w:pPr>
              <w:rPr>
                <w:lang w:eastAsia="es-CO"/>
              </w:rPr>
            </w:pPr>
            <w:r w:rsidRPr="005230AD">
              <w:rPr>
                <w:lang w:eastAsia="es-CO"/>
              </w:rPr>
              <w:t>200</w:t>
            </w:r>
          </w:p>
        </w:tc>
        <w:tc>
          <w:tcPr>
            <w:tcW w:w="734" w:type="dxa"/>
            <w:tcBorders>
              <w:top w:val="nil"/>
              <w:left w:val="nil"/>
              <w:bottom w:val="nil"/>
              <w:right w:val="nil"/>
            </w:tcBorders>
            <w:shd w:val="clear" w:color="auto" w:fill="auto"/>
            <w:noWrap/>
            <w:vAlign w:val="bottom"/>
          </w:tcPr>
          <w:p w14:paraId="42E02039" w14:textId="44D4F666" w:rsidR="005230AD" w:rsidRPr="005230AD" w:rsidRDefault="000C1162" w:rsidP="00A75EBC">
            <w:pPr>
              <w:rPr>
                <w:lang w:eastAsia="es-CO"/>
              </w:rPr>
            </w:pPr>
            <w:r w:rsidRPr="005230AD">
              <w:rPr>
                <w:lang w:eastAsia="es-CO"/>
              </w:rPr>
              <w:t>250</w:t>
            </w:r>
          </w:p>
        </w:tc>
        <w:tc>
          <w:tcPr>
            <w:tcW w:w="734" w:type="dxa"/>
            <w:tcBorders>
              <w:top w:val="nil"/>
              <w:left w:val="single" w:sz="8" w:space="0" w:color="auto"/>
              <w:bottom w:val="nil"/>
              <w:right w:val="single" w:sz="8" w:space="0" w:color="auto"/>
            </w:tcBorders>
            <w:shd w:val="clear" w:color="auto" w:fill="auto"/>
            <w:noWrap/>
            <w:vAlign w:val="bottom"/>
          </w:tcPr>
          <w:p w14:paraId="2B40FC9B" w14:textId="38FD6FD0" w:rsidR="005230AD" w:rsidRPr="005230AD" w:rsidRDefault="000C1162" w:rsidP="00A75EBC">
            <w:pPr>
              <w:rPr>
                <w:lang w:eastAsia="es-CO"/>
              </w:rPr>
            </w:pPr>
            <w:r w:rsidRPr="005230AD">
              <w:rPr>
                <w:lang w:eastAsia="es-CO"/>
              </w:rPr>
              <w:t>200</w:t>
            </w:r>
          </w:p>
        </w:tc>
        <w:tc>
          <w:tcPr>
            <w:tcW w:w="734" w:type="dxa"/>
            <w:tcBorders>
              <w:top w:val="nil"/>
              <w:left w:val="single" w:sz="8" w:space="0" w:color="auto"/>
              <w:bottom w:val="nil"/>
              <w:right w:val="single" w:sz="8" w:space="0" w:color="auto"/>
            </w:tcBorders>
            <w:vAlign w:val="bottom"/>
          </w:tcPr>
          <w:p w14:paraId="7C97C68B" w14:textId="6DB74059" w:rsidR="000C1162" w:rsidRPr="005230AD" w:rsidRDefault="000C1162" w:rsidP="000C1162">
            <w:pPr>
              <w:rPr>
                <w:lang w:eastAsia="es-CO"/>
              </w:rPr>
            </w:pPr>
            <w:r w:rsidRPr="005230AD">
              <w:rPr>
                <w:lang w:eastAsia="es-CO"/>
              </w:rPr>
              <w:t>400</w:t>
            </w:r>
          </w:p>
        </w:tc>
      </w:tr>
      <w:tr w:rsidR="005230AD" w:rsidRPr="005230AD" w14:paraId="3B741E81" w14:textId="5C5E0E06" w:rsidTr="00547119">
        <w:trPr>
          <w:trHeight w:val="228"/>
        </w:trPr>
        <w:tc>
          <w:tcPr>
            <w:tcW w:w="1124" w:type="dxa"/>
            <w:tcBorders>
              <w:top w:val="nil"/>
              <w:left w:val="single" w:sz="8" w:space="0" w:color="auto"/>
              <w:bottom w:val="nil"/>
              <w:right w:val="nil"/>
            </w:tcBorders>
            <w:shd w:val="clear" w:color="000000" w:fill="FFFFFF"/>
            <w:noWrap/>
            <w:vAlign w:val="bottom"/>
            <w:hideMark/>
          </w:tcPr>
          <w:p w14:paraId="4388A263" w14:textId="3A45DAF9" w:rsidR="005230AD" w:rsidRPr="00B81B30" w:rsidRDefault="005230AD" w:rsidP="00A75EBC">
            <w:pPr>
              <w:rPr>
                <w:b/>
                <w:bCs/>
                <w:lang w:eastAsia="es-CO"/>
              </w:rPr>
            </w:pPr>
            <w:r w:rsidRPr="00B81B30">
              <w:rPr>
                <w:b/>
                <w:bCs/>
                <w:lang w:eastAsia="es-CO"/>
              </w:rPr>
              <w:t>S1 - Corto</w:t>
            </w:r>
          </w:p>
        </w:tc>
        <w:tc>
          <w:tcPr>
            <w:tcW w:w="709" w:type="dxa"/>
            <w:tcBorders>
              <w:top w:val="nil"/>
              <w:left w:val="single" w:sz="8" w:space="0" w:color="auto"/>
              <w:bottom w:val="nil"/>
              <w:right w:val="single" w:sz="8" w:space="0" w:color="auto"/>
            </w:tcBorders>
            <w:shd w:val="clear" w:color="000000" w:fill="FFFFFF"/>
            <w:noWrap/>
            <w:vAlign w:val="bottom"/>
            <w:hideMark/>
          </w:tcPr>
          <w:p w14:paraId="6BCA7CEA" w14:textId="21B090F0" w:rsidR="005230AD" w:rsidRPr="005230AD" w:rsidRDefault="00086B26" w:rsidP="00A75EBC">
            <w:pPr>
              <w:rPr>
                <w:lang w:eastAsia="es-CO"/>
              </w:rPr>
            </w:pPr>
            <w:r>
              <w:rPr>
                <w:lang w:eastAsia="es-CO"/>
              </w:rPr>
              <w:t>500</w:t>
            </w:r>
          </w:p>
        </w:tc>
        <w:tc>
          <w:tcPr>
            <w:tcW w:w="628" w:type="dxa"/>
            <w:tcBorders>
              <w:top w:val="nil"/>
              <w:left w:val="nil"/>
              <w:bottom w:val="nil"/>
              <w:right w:val="single" w:sz="8" w:space="0" w:color="auto"/>
            </w:tcBorders>
            <w:shd w:val="clear" w:color="000000" w:fill="FFFFFF"/>
            <w:noWrap/>
            <w:vAlign w:val="bottom"/>
          </w:tcPr>
          <w:p w14:paraId="52270BC0" w14:textId="4328836E" w:rsidR="005230AD" w:rsidRPr="005230AD" w:rsidRDefault="000C1162" w:rsidP="00A75EBC">
            <w:pPr>
              <w:rPr>
                <w:lang w:eastAsia="es-CO"/>
              </w:rPr>
            </w:pPr>
            <w:r>
              <w:rPr>
                <w:lang w:eastAsia="es-CO"/>
              </w:rPr>
              <w:t>300</w:t>
            </w:r>
          </w:p>
        </w:tc>
        <w:tc>
          <w:tcPr>
            <w:tcW w:w="734" w:type="dxa"/>
            <w:tcBorders>
              <w:top w:val="nil"/>
              <w:left w:val="nil"/>
              <w:bottom w:val="nil"/>
              <w:right w:val="nil"/>
            </w:tcBorders>
            <w:shd w:val="clear" w:color="auto" w:fill="auto"/>
            <w:noWrap/>
            <w:vAlign w:val="bottom"/>
          </w:tcPr>
          <w:p w14:paraId="3EFAB092" w14:textId="2A2C829B" w:rsidR="005230AD" w:rsidRPr="005230AD" w:rsidRDefault="000C1162" w:rsidP="00A75EBC">
            <w:pPr>
              <w:rPr>
                <w:lang w:eastAsia="es-CO"/>
              </w:rPr>
            </w:pPr>
            <w:r w:rsidRPr="005230AD">
              <w:rPr>
                <w:lang w:eastAsia="es-CO"/>
              </w:rPr>
              <w:t>500</w:t>
            </w:r>
          </w:p>
        </w:tc>
        <w:tc>
          <w:tcPr>
            <w:tcW w:w="734" w:type="dxa"/>
            <w:tcBorders>
              <w:top w:val="nil"/>
              <w:left w:val="single" w:sz="8" w:space="0" w:color="auto"/>
              <w:bottom w:val="nil"/>
              <w:right w:val="single" w:sz="8" w:space="0" w:color="auto"/>
            </w:tcBorders>
            <w:shd w:val="clear" w:color="auto" w:fill="auto"/>
            <w:noWrap/>
            <w:vAlign w:val="bottom"/>
          </w:tcPr>
          <w:p w14:paraId="3254B97E" w14:textId="089B39EC" w:rsidR="005230AD" w:rsidRPr="005230AD" w:rsidRDefault="000C1162" w:rsidP="00A75EBC">
            <w:pPr>
              <w:rPr>
                <w:lang w:eastAsia="es-CO"/>
              </w:rPr>
            </w:pPr>
            <w:r w:rsidRPr="005230AD">
              <w:rPr>
                <w:lang w:eastAsia="es-CO"/>
              </w:rPr>
              <w:t>450</w:t>
            </w:r>
          </w:p>
        </w:tc>
        <w:tc>
          <w:tcPr>
            <w:tcW w:w="734" w:type="dxa"/>
            <w:tcBorders>
              <w:top w:val="nil"/>
              <w:left w:val="nil"/>
              <w:bottom w:val="nil"/>
              <w:right w:val="single" w:sz="8" w:space="0" w:color="auto"/>
            </w:tcBorders>
            <w:shd w:val="clear" w:color="auto" w:fill="auto"/>
            <w:noWrap/>
            <w:vAlign w:val="bottom"/>
          </w:tcPr>
          <w:p w14:paraId="775CD230" w14:textId="4609BC65" w:rsidR="005230AD" w:rsidRPr="005230AD" w:rsidRDefault="000C1162" w:rsidP="00A75EBC">
            <w:pPr>
              <w:rPr>
                <w:lang w:eastAsia="es-CO"/>
              </w:rPr>
            </w:pPr>
            <w:r w:rsidRPr="005230AD">
              <w:rPr>
                <w:lang w:eastAsia="es-CO"/>
              </w:rPr>
              <w:t>500</w:t>
            </w:r>
          </w:p>
        </w:tc>
        <w:tc>
          <w:tcPr>
            <w:tcW w:w="734" w:type="dxa"/>
            <w:tcBorders>
              <w:top w:val="nil"/>
              <w:left w:val="nil"/>
              <w:bottom w:val="nil"/>
              <w:right w:val="nil"/>
            </w:tcBorders>
            <w:shd w:val="clear" w:color="auto" w:fill="auto"/>
            <w:noWrap/>
            <w:vAlign w:val="bottom"/>
          </w:tcPr>
          <w:p w14:paraId="3EF87D37" w14:textId="7E8D483A"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nil"/>
              <w:right w:val="single" w:sz="8" w:space="0" w:color="auto"/>
            </w:tcBorders>
            <w:shd w:val="clear" w:color="auto" w:fill="auto"/>
            <w:noWrap/>
            <w:vAlign w:val="bottom"/>
          </w:tcPr>
          <w:p w14:paraId="5DE87188" w14:textId="0D18DB99" w:rsidR="005230AD" w:rsidRPr="005230AD" w:rsidRDefault="000C1162" w:rsidP="00A75EBC">
            <w:pPr>
              <w:rPr>
                <w:lang w:eastAsia="es-CO"/>
              </w:rPr>
            </w:pPr>
            <w:r w:rsidRPr="005230AD">
              <w:rPr>
                <w:lang w:eastAsia="es-CO"/>
              </w:rPr>
              <w:t>150</w:t>
            </w:r>
          </w:p>
        </w:tc>
        <w:tc>
          <w:tcPr>
            <w:tcW w:w="734" w:type="dxa"/>
            <w:tcBorders>
              <w:top w:val="nil"/>
              <w:left w:val="nil"/>
              <w:bottom w:val="nil"/>
              <w:right w:val="nil"/>
            </w:tcBorders>
            <w:shd w:val="clear" w:color="auto" w:fill="auto"/>
            <w:noWrap/>
            <w:vAlign w:val="bottom"/>
          </w:tcPr>
          <w:p w14:paraId="39586458" w14:textId="0DAD403F"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nil"/>
              <w:right w:val="single" w:sz="8" w:space="0" w:color="auto"/>
            </w:tcBorders>
            <w:shd w:val="clear" w:color="auto" w:fill="auto"/>
            <w:noWrap/>
            <w:vAlign w:val="bottom"/>
          </w:tcPr>
          <w:p w14:paraId="0F0E5A11" w14:textId="4A866530" w:rsidR="005230AD" w:rsidRPr="005230AD" w:rsidRDefault="000C1162" w:rsidP="00A75EBC">
            <w:pPr>
              <w:rPr>
                <w:lang w:eastAsia="es-CO"/>
              </w:rPr>
            </w:pPr>
            <w:r w:rsidRPr="005230AD">
              <w:rPr>
                <w:lang w:eastAsia="es-CO"/>
              </w:rPr>
              <w:t>250</w:t>
            </w:r>
          </w:p>
        </w:tc>
        <w:tc>
          <w:tcPr>
            <w:tcW w:w="734" w:type="dxa"/>
            <w:tcBorders>
              <w:top w:val="nil"/>
              <w:left w:val="nil"/>
              <w:bottom w:val="nil"/>
              <w:right w:val="nil"/>
            </w:tcBorders>
            <w:shd w:val="clear" w:color="auto" w:fill="auto"/>
            <w:noWrap/>
            <w:vAlign w:val="bottom"/>
          </w:tcPr>
          <w:p w14:paraId="34A1E657" w14:textId="20E4B409"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nil"/>
              <w:right w:val="single" w:sz="8" w:space="0" w:color="auto"/>
            </w:tcBorders>
            <w:shd w:val="clear" w:color="auto" w:fill="auto"/>
            <w:noWrap/>
            <w:vAlign w:val="bottom"/>
          </w:tcPr>
          <w:p w14:paraId="420E58DE" w14:textId="00DB8FB2" w:rsidR="005230AD" w:rsidRPr="005230AD" w:rsidRDefault="000C1162" w:rsidP="00A75EBC">
            <w:pPr>
              <w:rPr>
                <w:lang w:eastAsia="es-CO"/>
              </w:rPr>
            </w:pPr>
            <w:r w:rsidRPr="005230AD">
              <w:rPr>
                <w:lang w:eastAsia="es-CO"/>
              </w:rPr>
              <w:t>250</w:t>
            </w:r>
          </w:p>
        </w:tc>
        <w:tc>
          <w:tcPr>
            <w:tcW w:w="734" w:type="dxa"/>
            <w:tcBorders>
              <w:top w:val="nil"/>
              <w:left w:val="single" w:sz="8" w:space="0" w:color="auto"/>
              <w:bottom w:val="nil"/>
              <w:right w:val="single" w:sz="8" w:space="0" w:color="auto"/>
            </w:tcBorders>
            <w:vAlign w:val="bottom"/>
          </w:tcPr>
          <w:p w14:paraId="3C724FD1" w14:textId="02244BA7" w:rsidR="000C1162" w:rsidRPr="005230AD" w:rsidRDefault="000C1162" w:rsidP="000C1162">
            <w:pPr>
              <w:rPr>
                <w:lang w:eastAsia="es-CO"/>
              </w:rPr>
            </w:pPr>
            <w:r w:rsidRPr="005230AD">
              <w:rPr>
                <w:lang w:eastAsia="es-CO"/>
              </w:rPr>
              <w:t>500</w:t>
            </w:r>
          </w:p>
        </w:tc>
      </w:tr>
      <w:tr w:rsidR="00916778" w:rsidRPr="005230AD" w14:paraId="0C67322C" w14:textId="78F3D104" w:rsidTr="00547119">
        <w:trPr>
          <w:trHeight w:val="239"/>
        </w:trPr>
        <w:tc>
          <w:tcPr>
            <w:tcW w:w="1124" w:type="dxa"/>
            <w:tcBorders>
              <w:top w:val="nil"/>
              <w:left w:val="single" w:sz="8" w:space="0" w:color="auto"/>
              <w:bottom w:val="single" w:sz="8" w:space="0" w:color="auto"/>
              <w:right w:val="nil"/>
            </w:tcBorders>
            <w:shd w:val="clear" w:color="000000" w:fill="FFFFFF"/>
            <w:noWrap/>
            <w:vAlign w:val="bottom"/>
            <w:hideMark/>
          </w:tcPr>
          <w:p w14:paraId="70C31D3E" w14:textId="584BFFEC" w:rsidR="005230AD" w:rsidRPr="00B81B30" w:rsidRDefault="005230AD" w:rsidP="00A75EBC">
            <w:pPr>
              <w:rPr>
                <w:b/>
                <w:bCs/>
                <w:lang w:eastAsia="es-CO"/>
              </w:rPr>
            </w:pPr>
            <w:r w:rsidRPr="00B81B30">
              <w:rPr>
                <w:b/>
                <w:bCs/>
                <w:lang w:eastAsia="es-CO"/>
              </w:rPr>
              <w:t>S2 - Largo</w:t>
            </w:r>
          </w:p>
        </w:tc>
        <w:tc>
          <w:tcPr>
            <w:tcW w:w="709" w:type="dxa"/>
            <w:tcBorders>
              <w:top w:val="nil"/>
              <w:left w:val="single" w:sz="8" w:space="0" w:color="auto"/>
              <w:bottom w:val="single" w:sz="8" w:space="0" w:color="auto"/>
              <w:right w:val="single" w:sz="8" w:space="0" w:color="auto"/>
            </w:tcBorders>
            <w:shd w:val="clear" w:color="000000" w:fill="FFFFFF"/>
            <w:noWrap/>
            <w:vAlign w:val="bottom"/>
            <w:hideMark/>
          </w:tcPr>
          <w:p w14:paraId="0845C053" w14:textId="5AD89495" w:rsidR="005230AD" w:rsidRPr="005230AD" w:rsidRDefault="00857AB6" w:rsidP="00A75EBC">
            <w:pPr>
              <w:rPr>
                <w:lang w:eastAsia="es-CO"/>
              </w:rPr>
            </w:pPr>
            <w:r>
              <w:rPr>
                <w:lang w:eastAsia="es-CO"/>
              </w:rPr>
              <w:t>300</w:t>
            </w:r>
          </w:p>
        </w:tc>
        <w:tc>
          <w:tcPr>
            <w:tcW w:w="628" w:type="dxa"/>
            <w:tcBorders>
              <w:top w:val="nil"/>
              <w:left w:val="nil"/>
              <w:bottom w:val="single" w:sz="8" w:space="0" w:color="auto"/>
              <w:right w:val="single" w:sz="8" w:space="0" w:color="auto"/>
            </w:tcBorders>
            <w:shd w:val="clear" w:color="000000" w:fill="FFFFFF"/>
            <w:noWrap/>
            <w:vAlign w:val="bottom"/>
          </w:tcPr>
          <w:p w14:paraId="76EFD9BC" w14:textId="1A9624A7" w:rsidR="005230AD" w:rsidRPr="005230AD" w:rsidRDefault="000C1162" w:rsidP="00A75EBC">
            <w:pPr>
              <w:rPr>
                <w:lang w:eastAsia="es-CO"/>
              </w:rPr>
            </w:pPr>
            <w:r>
              <w:rPr>
                <w:lang w:eastAsia="es-CO"/>
              </w:rPr>
              <w:t>100</w:t>
            </w:r>
          </w:p>
        </w:tc>
        <w:tc>
          <w:tcPr>
            <w:tcW w:w="734" w:type="dxa"/>
            <w:tcBorders>
              <w:top w:val="nil"/>
              <w:left w:val="nil"/>
              <w:bottom w:val="single" w:sz="8" w:space="0" w:color="auto"/>
              <w:right w:val="nil"/>
            </w:tcBorders>
            <w:shd w:val="clear" w:color="auto" w:fill="auto"/>
            <w:noWrap/>
            <w:vAlign w:val="bottom"/>
          </w:tcPr>
          <w:p w14:paraId="6A80FA3B" w14:textId="4576EAAF" w:rsidR="005230AD" w:rsidRPr="005230AD" w:rsidRDefault="000C1162" w:rsidP="00A75EBC">
            <w:pPr>
              <w:rPr>
                <w:lang w:eastAsia="es-CO"/>
              </w:rPr>
            </w:pPr>
            <w:r w:rsidRPr="005230AD">
              <w:rPr>
                <w:lang w:eastAsia="es-CO"/>
              </w:rPr>
              <w:t>300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710C89DD" w14:textId="7E161692" w:rsidR="005230AD" w:rsidRPr="005230AD" w:rsidRDefault="000C1162" w:rsidP="00A75EBC">
            <w:pPr>
              <w:rPr>
                <w:lang w:eastAsia="es-CO"/>
              </w:rPr>
            </w:pPr>
            <w:r w:rsidRPr="005230AD">
              <w:rPr>
                <w:lang w:eastAsia="es-CO"/>
              </w:rPr>
              <w:t>200</w:t>
            </w:r>
          </w:p>
        </w:tc>
        <w:tc>
          <w:tcPr>
            <w:tcW w:w="734" w:type="dxa"/>
            <w:tcBorders>
              <w:top w:val="nil"/>
              <w:left w:val="nil"/>
              <w:bottom w:val="single" w:sz="8" w:space="0" w:color="auto"/>
              <w:right w:val="single" w:sz="8" w:space="0" w:color="auto"/>
            </w:tcBorders>
            <w:shd w:val="clear" w:color="auto" w:fill="auto"/>
            <w:noWrap/>
            <w:vAlign w:val="bottom"/>
          </w:tcPr>
          <w:p w14:paraId="0911DAB9" w14:textId="306CCC36" w:rsidR="005230AD" w:rsidRPr="005230AD" w:rsidRDefault="000C1162" w:rsidP="00A75EBC">
            <w:pPr>
              <w:rPr>
                <w:lang w:eastAsia="es-CO"/>
              </w:rPr>
            </w:pPr>
            <w:r w:rsidRPr="005230AD">
              <w:rPr>
                <w:lang w:eastAsia="es-CO"/>
              </w:rPr>
              <w:t>300</w:t>
            </w:r>
          </w:p>
        </w:tc>
        <w:tc>
          <w:tcPr>
            <w:tcW w:w="734" w:type="dxa"/>
            <w:tcBorders>
              <w:top w:val="nil"/>
              <w:left w:val="nil"/>
              <w:bottom w:val="single" w:sz="8" w:space="0" w:color="auto"/>
              <w:right w:val="nil"/>
            </w:tcBorders>
            <w:shd w:val="clear" w:color="auto" w:fill="auto"/>
            <w:noWrap/>
            <w:vAlign w:val="bottom"/>
          </w:tcPr>
          <w:p w14:paraId="0D00B35E" w14:textId="58E3001E" w:rsidR="005230AD" w:rsidRPr="005230AD" w:rsidRDefault="000C1162"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6EEDCD8D" w14:textId="17886A33" w:rsidR="005230AD" w:rsidRPr="005230AD" w:rsidRDefault="000C1162" w:rsidP="00A75EBC">
            <w:pPr>
              <w:rPr>
                <w:lang w:eastAsia="es-CO"/>
              </w:rPr>
            </w:pPr>
            <w:r w:rsidRPr="005230AD">
              <w:rPr>
                <w:lang w:eastAsia="es-CO"/>
              </w:rPr>
              <w:t>100</w:t>
            </w:r>
          </w:p>
        </w:tc>
        <w:tc>
          <w:tcPr>
            <w:tcW w:w="734" w:type="dxa"/>
            <w:tcBorders>
              <w:top w:val="nil"/>
              <w:left w:val="nil"/>
              <w:bottom w:val="single" w:sz="8" w:space="0" w:color="auto"/>
              <w:right w:val="nil"/>
            </w:tcBorders>
            <w:shd w:val="clear" w:color="auto" w:fill="auto"/>
            <w:noWrap/>
            <w:vAlign w:val="bottom"/>
          </w:tcPr>
          <w:p w14:paraId="33F3811A" w14:textId="675EDE32" w:rsidR="005230AD" w:rsidRPr="005230AD" w:rsidRDefault="000C1162"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1FAC850F" w14:textId="3D7F22CB" w:rsidR="005230AD" w:rsidRPr="005230AD" w:rsidRDefault="000C1162" w:rsidP="00A75EBC">
            <w:pPr>
              <w:rPr>
                <w:lang w:eastAsia="es-CO"/>
              </w:rPr>
            </w:pPr>
            <w:r w:rsidRPr="005230AD">
              <w:rPr>
                <w:lang w:eastAsia="es-CO"/>
              </w:rPr>
              <w:t>100</w:t>
            </w:r>
          </w:p>
        </w:tc>
        <w:tc>
          <w:tcPr>
            <w:tcW w:w="734" w:type="dxa"/>
            <w:tcBorders>
              <w:top w:val="nil"/>
              <w:left w:val="nil"/>
              <w:bottom w:val="single" w:sz="8" w:space="0" w:color="auto"/>
              <w:right w:val="nil"/>
            </w:tcBorders>
            <w:shd w:val="clear" w:color="auto" w:fill="auto"/>
            <w:noWrap/>
            <w:vAlign w:val="bottom"/>
          </w:tcPr>
          <w:p w14:paraId="38795648" w14:textId="51669E89" w:rsidR="005230AD" w:rsidRPr="005230AD" w:rsidRDefault="000C1162"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tcPr>
          <w:p w14:paraId="21EFED16" w14:textId="68DCD0F9" w:rsidR="005230AD" w:rsidRPr="005230AD" w:rsidRDefault="000C1162" w:rsidP="00A75EBC">
            <w:pPr>
              <w:rPr>
                <w:lang w:eastAsia="es-CO"/>
              </w:rPr>
            </w:pPr>
            <w:r w:rsidRPr="005230AD">
              <w:rPr>
                <w:lang w:eastAsia="es-CO"/>
              </w:rPr>
              <w:t>100</w:t>
            </w:r>
          </w:p>
        </w:tc>
        <w:tc>
          <w:tcPr>
            <w:tcW w:w="734" w:type="dxa"/>
            <w:tcBorders>
              <w:top w:val="nil"/>
              <w:left w:val="single" w:sz="8" w:space="0" w:color="auto"/>
              <w:bottom w:val="single" w:sz="8" w:space="0" w:color="auto"/>
              <w:right w:val="single" w:sz="8" w:space="0" w:color="auto"/>
            </w:tcBorders>
            <w:vAlign w:val="bottom"/>
          </w:tcPr>
          <w:p w14:paraId="7A3D9F8B" w14:textId="7A49CD2D" w:rsidR="000C1162" w:rsidRPr="005230AD" w:rsidRDefault="000C1162" w:rsidP="000C1162">
            <w:pPr>
              <w:rPr>
                <w:lang w:eastAsia="es-CO"/>
              </w:rPr>
            </w:pPr>
            <w:r w:rsidRPr="005230AD">
              <w:rPr>
                <w:lang w:eastAsia="es-CO"/>
              </w:rPr>
              <w:t>300</w:t>
            </w:r>
          </w:p>
        </w:tc>
      </w:tr>
      <w:tr w:rsidR="005230AD" w:rsidRPr="005230AD" w14:paraId="035472FF" w14:textId="03C6731E" w:rsidTr="000C1162">
        <w:trPr>
          <w:trHeight w:val="239"/>
        </w:trPr>
        <w:tc>
          <w:tcPr>
            <w:tcW w:w="1124" w:type="dxa"/>
            <w:tcBorders>
              <w:top w:val="nil"/>
              <w:left w:val="nil"/>
              <w:bottom w:val="nil"/>
              <w:right w:val="nil"/>
            </w:tcBorders>
            <w:shd w:val="clear" w:color="auto" w:fill="auto"/>
            <w:noWrap/>
            <w:vAlign w:val="bottom"/>
            <w:hideMark/>
          </w:tcPr>
          <w:p w14:paraId="454CEC90" w14:textId="59586803" w:rsidR="00835D34" w:rsidRDefault="00835D34" w:rsidP="00A75EBC">
            <w:pPr>
              <w:rPr>
                <w:lang w:eastAsia="es-CO"/>
              </w:rPr>
            </w:pPr>
          </w:p>
          <w:p w14:paraId="6DFC78E8" w14:textId="2522DB89" w:rsidR="00835D34" w:rsidRPr="005230AD" w:rsidRDefault="00835D34" w:rsidP="00A75EBC">
            <w:pPr>
              <w:rPr>
                <w:lang w:eastAsia="es-CO"/>
              </w:rPr>
            </w:pPr>
          </w:p>
        </w:tc>
        <w:tc>
          <w:tcPr>
            <w:tcW w:w="709" w:type="dxa"/>
            <w:tcBorders>
              <w:top w:val="nil"/>
              <w:left w:val="nil"/>
              <w:bottom w:val="nil"/>
              <w:right w:val="nil"/>
            </w:tcBorders>
            <w:shd w:val="clear" w:color="auto" w:fill="auto"/>
            <w:noWrap/>
            <w:vAlign w:val="bottom"/>
            <w:hideMark/>
          </w:tcPr>
          <w:p w14:paraId="09B73B98" w14:textId="77777777" w:rsidR="005230AD" w:rsidRPr="005230AD" w:rsidRDefault="005230AD" w:rsidP="00A75EBC">
            <w:pPr>
              <w:rPr>
                <w:lang w:eastAsia="es-CO"/>
              </w:rPr>
            </w:pPr>
          </w:p>
        </w:tc>
        <w:tc>
          <w:tcPr>
            <w:tcW w:w="628" w:type="dxa"/>
            <w:tcBorders>
              <w:top w:val="nil"/>
              <w:left w:val="nil"/>
              <w:bottom w:val="nil"/>
              <w:right w:val="nil"/>
            </w:tcBorders>
            <w:shd w:val="clear" w:color="auto" w:fill="auto"/>
            <w:noWrap/>
            <w:vAlign w:val="bottom"/>
            <w:hideMark/>
          </w:tcPr>
          <w:p w14:paraId="5575EB7E" w14:textId="5672190F"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27D8203C"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29596102"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64EB60F1"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34F2E7E0"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65B64C8C"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1DA37E56"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24327D2A"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3FF87885" w14:textId="77777777" w:rsidR="005230AD" w:rsidRPr="005230AD" w:rsidRDefault="005230AD" w:rsidP="00A75EBC">
            <w:pPr>
              <w:rPr>
                <w:lang w:eastAsia="es-CO"/>
              </w:rPr>
            </w:pPr>
          </w:p>
        </w:tc>
        <w:tc>
          <w:tcPr>
            <w:tcW w:w="734" w:type="dxa"/>
            <w:tcBorders>
              <w:top w:val="nil"/>
              <w:left w:val="nil"/>
              <w:bottom w:val="nil"/>
              <w:right w:val="nil"/>
            </w:tcBorders>
            <w:shd w:val="clear" w:color="auto" w:fill="auto"/>
            <w:noWrap/>
            <w:vAlign w:val="bottom"/>
            <w:hideMark/>
          </w:tcPr>
          <w:p w14:paraId="3A344C00" w14:textId="77777777" w:rsidR="005230AD" w:rsidRPr="005230AD" w:rsidRDefault="005230AD" w:rsidP="00A75EBC">
            <w:pPr>
              <w:rPr>
                <w:lang w:eastAsia="es-CO"/>
              </w:rPr>
            </w:pPr>
          </w:p>
        </w:tc>
        <w:tc>
          <w:tcPr>
            <w:tcW w:w="734" w:type="dxa"/>
            <w:tcBorders>
              <w:top w:val="nil"/>
              <w:left w:val="nil"/>
              <w:bottom w:val="nil"/>
              <w:right w:val="nil"/>
            </w:tcBorders>
          </w:tcPr>
          <w:p w14:paraId="45632C7F" w14:textId="77777777" w:rsidR="000C1162" w:rsidRPr="005230AD" w:rsidRDefault="000C1162" w:rsidP="000C1162">
            <w:pPr>
              <w:rPr>
                <w:lang w:eastAsia="es-CO"/>
              </w:rPr>
            </w:pPr>
          </w:p>
        </w:tc>
      </w:tr>
      <w:tr w:rsidR="005230AD" w:rsidRPr="005230AD" w14:paraId="13898011" w14:textId="77777777" w:rsidTr="000C1162">
        <w:trPr>
          <w:gridAfter w:val="1"/>
          <w:wAfter w:w="734" w:type="dxa"/>
          <w:trHeight w:val="239"/>
        </w:trPr>
        <w:tc>
          <w:tcPr>
            <w:tcW w:w="1124" w:type="dxa"/>
            <w:tcBorders>
              <w:top w:val="single" w:sz="8" w:space="0" w:color="auto"/>
              <w:left w:val="single" w:sz="8" w:space="0" w:color="auto"/>
              <w:bottom w:val="single" w:sz="8" w:space="0" w:color="auto"/>
              <w:right w:val="nil"/>
            </w:tcBorders>
            <w:shd w:val="clear" w:color="000000" w:fill="FFFFFF"/>
            <w:noWrap/>
            <w:vAlign w:val="bottom"/>
            <w:hideMark/>
          </w:tcPr>
          <w:p w14:paraId="59CC4FB1" w14:textId="1A949226" w:rsidR="005230AD" w:rsidRPr="005230AD" w:rsidRDefault="005230AD" w:rsidP="00A75EBC">
            <w:pPr>
              <w:rPr>
                <w:lang w:eastAsia="es-CO"/>
              </w:rPr>
            </w:pPr>
          </w:p>
        </w:tc>
        <w:tc>
          <w:tcPr>
            <w:tcW w:w="709"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E1A15D8" w14:textId="77777777" w:rsidR="005230AD" w:rsidRPr="00B81B30" w:rsidRDefault="005230AD" w:rsidP="00A75EBC">
            <w:pPr>
              <w:rPr>
                <w:b/>
                <w:bCs/>
                <w:lang w:eastAsia="es-CO"/>
              </w:rPr>
            </w:pPr>
            <w:r w:rsidRPr="00B81B30">
              <w:rPr>
                <w:b/>
                <w:bCs/>
                <w:lang w:eastAsia="es-CO"/>
              </w:rPr>
              <w:t>GUAY</w:t>
            </w:r>
          </w:p>
        </w:tc>
        <w:tc>
          <w:tcPr>
            <w:tcW w:w="628" w:type="dxa"/>
            <w:tcBorders>
              <w:top w:val="single" w:sz="8" w:space="0" w:color="auto"/>
              <w:left w:val="nil"/>
              <w:bottom w:val="single" w:sz="8" w:space="0" w:color="auto"/>
              <w:right w:val="single" w:sz="8" w:space="0" w:color="auto"/>
            </w:tcBorders>
            <w:shd w:val="clear" w:color="000000" w:fill="FFFFFF"/>
            <w:noWrap/>
            <w:vAlign w:val="bottom"/>
            <w:hideMark/>
          </w:tcPr>
          <w:p w14:paraId="19C4B01A" w14:textId="43123513" w:rsidR="005230AD" w:rsidRPr="00B81B30" w:rsidRDefault="005230AD" w:rsidP="00A75EBC">
            <w:pPr>
              <w:rPr>
                <w:b/>
                <w:bCs/>
                <w:lang w:eastAsia="es-CO"/>
              </w:rPr>
            </w:pPr>
            <w:r w:rsidRPr="00B81B30">
              <w:rPr>
                <w:b/>
                <w:bCs/>
                <w:lang w:eastAsia="es-CO"/>
              </w:rPr>
              <w:t>KRW</w:t>
            </w:r>
          </w:p>
        </w:tc>
        <w:tc>
          <w:tcPr>
            <w:tcW w:w="734" w:type="dxa"/>
            <w:tcBorders>
              <w:top w:val="single" w:sz="8" w:space="0" w:color="auto"/>
              <w:left w:val="nil"/>
              <w:bottom w:val="single" w:sz="8" w:space="0" w:color="auto"/>
              <w:right w:val="nil"/>
            </w:tcBorders>
            <w:shd w:val="clear" w:color="auto" w:fill="auto"/>
            <w:noWrap/>
            <w:vAlign w:val="bottom"/>
            <w:hideMark/>
          </w:tcPr>
          <w:p w14:paraId="29A48481" w14:textId="77777777" w:rsidR="005230AD" w:rsidRPr="00B81B30" w:rsidRDefault="005230AD" w:rsidP="00A75EBC">
            <w:pPr>
              <w:rPr>
                <w:b/>
                <w:bCs/>
                <w:lang w:eastAsia="es-CO"/>
              </w:rPr>
            </w:pPr>
            <w:r w:rsidRPr="00B81B30">
              <w:rPr>
                <w:b/>
                <w:bCs/>
                <w:lang w:eastAsia="es-CO"/>
              </w:rPr>
              <w:t>MXN</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7BFF0A" w14:textId="77777777" w:rsidR="005230AD" w:rsidRPr="00B81B30" w:rsidRDefault="005230AD" w:rsidP="00A75EBC">
            <w:pPr>
              <w:rPr>
                <w:b/>
                <w:bCs/>
                <w:lang w:eastAsia="es-CO"/>
              </w:rPr>
            </w:pPr>
            <w:r w:rsidRPr="00B81B30">
              <w:rPr>
                <w:b/>
                <w:bCs/>
                <w:lang w:eastAsia="es-CO"/>
              </w:rPr>
              <w:t>RUB</w:t>
            </w:r>
          </w:p>
        </w:tc>
        <w:tc>
          <w:tcPr>
            <w:tcW w:w="734" w:type="dxa"/>
            <w:tcBorders>
              <w:top w:val="single" w:sz="8" w:space="0" w:color="auto"/>
              <w:left w:val="nil"/>
              <w:bottom w:val="single" w:sz="8" w:space="0" w:color="auto"/>
              <w:right w:val="single" w:sz="8" w:space="0" w:color="auto"/>
            </w:tcBorders>
            <w:shd w:val="clear" w:color="auto" w:fill="auto"/>
            <w:noWrap/>
            <w:vAlign w:val="bottom"/>
            <w:hideMark/>
          </w:tcPr>
          <w:p w14:paraId="5AF3E29F" w14:textId="77777777" w:rsidR="005230AD" w:rsidRPr="00B81B30" w:rsidRDefault="005230AD" w:rsidP="00A75EBC">
            <w:pPr>
              <w:rPr>
                <w:b/>
                <w:bCs/>
                <w:lang w:eastAsia="es-CO"/>
              </w:rPr>
            </w:pPr>
            <w:r w:rsidRPr="00B81B30">
              <w:rPr>
                <w:b/>
                <w:bCs/>
                <w:lang w:eastAsia="es-CO"/>
              </w:rPr>
              <w:t>SAR</w:t>
            </w:r>
          </w:p>
        </w:tc>
        <w:tc>
          <w:tcPr>
            <w:tcW w:w="734" w:type="dxa"/>
            <w:tcBorders>
              <w:top w:val="single" w:sz="8" w:space="0" w:color="auto"/>
              <w:left w:val="nil"/>
              <w:bottom w:val="single" w:sz="8" w:space="0" w:color="auto"/>
              <w:right w:val="nil"/>
            </w:tcBorders>
            <w:shd w:val="clear" w:color="auto" w:fill="auto"/>
            <w:noWrap/>
            <w:vAlign w:val="bottom"/>
            <w:hideMark/>
          </w:tcPr>
          <w:p w14:paraId="5949CC3F" w14:textId="77777777" w:rsidR="005230AD" w:rsidRPr="00B81B30" w:rsidRDefault="005230AD" w:rsidP="00A75EBC">
            <w:pPr>
              <w:rPr>
                <w:b/>
                <w:bCs/>
                <w:lang w:eastAsia="es-CO"/>
              </w:rPr>
            </w:pPr>
            <w:r w:rsidRPr="00B81B30">
              <w:rPr>
                <w:b/>
                <w:bCs/>
                <w:lang w:eastAsia="es-CO"/>
              </w:rPr>
              <w:t>SEK</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2D6898" w14:textId="77777777" w:rsidR="005230AD" w:rsidRPr="00B81B30" w:rsidRDefault="005230AD" w:rsidP="00A75EBC">
            <w:pPr>
              <w:rPr>
                <w:b/>
                <w:bCs/>
                <w:lang w:eastAsia="es-CO"/>
              </w:rPr>
            </w:pPr>
            <w:r w:rsidRPr="00B81B30">
              <w:rPr>
                <w:b/>
                <w:bCs/>
                <w:lang w:eastAsia="es-CO"/>
              </w:rPr>
              <w:t>SGD</w:t>
            </w:r>
          </w:p>
        </w:tc>
        <w:tc>
          <w:tcPr>
            <w:tcW w:w="734" w:type="dxa"/>
            <w:tcBorders>
              <w:top w:val="single" w:sz="8" w:space="0" w:color="auto"/>
              <w:left w:val="nil"/>
              <w:bottom w:val="single" w:sz="8" w:space="0" w:color="auto"/>
              <w:right w:val="nil"/>
            </w:tcBorders>
            <w:shd w:val="clear" w:color="auto" w:fill="auto"/>
            <w:noWrap/>
            <w:vAlign w:val="bottom"/>
            <w:hideMark/>
          </w:tcPr>
          <w:p w14:paraId="0C129C03" w14:textId="77777777" w:rsidR="005230AD" w:rsidRPr="00B81B30" w:rsidRDefault="005230AD" w:rsidP="00A75EBC">
            <w:pPr>
              <w:rPr>
                <w:b/>
                <w:bCs/>
                <w:lang w:eastAsia="es-CO"/>
              </w:rPr>
            </w:pPr>
            <w:r w:rsidRPr="00B81B30">
              <w:rPr>
                <w:b/>
                <w:bCs/>
                <w:lang w:eastAsia="es-CO"/>
              </w:rPr>
              <w:t>TRY</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0F7DE41" w14:textId="77777777" w:rsidR="005230AD" w:rsidRPr="00B81B30" w:rsidRDefault="005230AD" w:rsidP="00A75EBC">
            <w:pPr>
              <w:rPr>
                <w:b/>
                <w:bCs/>
                <w:lang w:eastAsia="es-CO"/>
              </w:rPr>
            </w:pPr>
            <w:r w:rsidRPr="00B81B30">
              <w:rPr>
                <w:b/>
                <w:bCs/>
                <w:lang w:eastAsia="es-CO"/>
              </w:rPr>
              <w:t>USD</w:t>
            </w:r>
          </w:p>
        </w:tc>
        <w:tc>
          <w:tcPr>
            <w:tcW w:w="734" w:type="dxa"/>
            <w:tcBorders>
              <w:top w:val="single" w:sz="8" w:space="0" w:color="auto"/>
              <w:left w:val="nil"/>
              <w:bottom w:val="single" w:sz="8" w:space="0" w:color="auto"/>
              <w:right w:val="single" w:sz="8" w:space="0" w:color="auto"/>
            </w:tcBorders>
            <w:shd w:val="clear" w:color="auto" w:fill="auto"/>
            <w:noWrap/>
            <w:vAlign w:val="bottom"/>
            <w:hideMark/>
          </w:tcPr>
          <w:p w14:paraId="0016422D" w14:textId="77777777" w:rsidR="005230AD" w:rsidRPr="00B81B30" w:rsidRDefault="005230AD" w:rsidP="00A75EBC">
            <w:pPr>
              <w:rPr>
                <w:b/>
                <w:bCs/>
                <w:lang w:eastAsia="es-CO"/>
              </w:rPr>
            </w:pPr>
            <w:r w:rsidRPr="00B81B30">
              <w:rPr>
                <w:b/>
                <w:bCs/>
                <w:lang w:eastAsia="es-CO"/>
              </w:rPr>
              <w:t>ZAR</w:t>
            </w:r>
          </w:p>
        </w:tc>
        <w:tc>
          <w:tcPr>
            <w:tcW w:w="734" w:type="dxa"/>
            <w:tcBorders>
              <w:top w:val="single" w:sz="8" w:space="0" w:color="auto"/>
              <w:left w:val="nil"/>
              <w:bottom w:val="single" w:sz="8" w:space="0" w:color="auto"/>
              <w:right w:val="single" w:sz="8" w:space="0" w:color="auto"/>
            </w:tcBorders>
            <w:shd w:val="clear" w:color="auto" w:fill="auto"/>
            <w:noWrap/>
            <w:vAlign w:val="bottom"/>
            <w:hideMark/>
          </w:tcPr>
          <w:p w14:paraId="70F574AA" w14:textId="77777777" w:rsidR="005230AD" w:rsidRPr="00B81B30" w:rsidRDefault="005230AD" w:rsidP="00A75EBC">
            <w:pPr>
              <w:rPr>
                <w:b/>
                <w:bCs/>
                <w:lang w:eastAsia="es-CO"/>
              </w:rPr>
            </w:pPr>
            <w:r w:rsidRPr="00B81B30">
              <w:rPr>
                <w:b/>
                <w:bCs/>
                <w:lang w:eastAsia="es-CO"/>
              </w:rPr>
              <w:t>INR</w:t>
            </w:r>
          </w:p>
        </w:tc>
      </w:tr>
      <w:tr w:rsidR="005230AD" w:rsidRPr="005230AD" w14:paraId="3802AEA4" w14:textId="77777777" w:rsidTr="000C1162">
        <w:trPr>
          <w:gridAfter w:val="1"/>
          <w:wAfter w:w="734" w:type="dxa"/>
          <w:trHeight w:val="228"/>
        </w:trPr>
        <w:tc>
          <w:tcPr>
            <w:tcW w:w="1124" w:type="dxa"/>
            <w:tcBorders>
              <w:top w:val="nil"/>
              <w:left w:val="single" w:sz="8" w:space="0" w:color="auto"/>
              <w:bottom w:val="nil"/>
              <w:right w:val="nil"/>
            </w:tcBorders>
            <w:shd w:val="clear" w:color="000000" w:fill="FFFFFF"/>
            <w:noWrap/>
            <w:vAlign w:val="bottom"/>
            <w:hideMark/>
          </w:tcPr>
          <w:p w14:paraId="1D02D96E" w14:textId="77777777" w:rsidR="005230AD" w:rsidRPr="00B81B30" w:rsidRDefault="005230AD" w:rsidP="00A75EBC">
            <w:pPr>
              <w:rPr>
                <w:b/>
                <w:bCs/>
                <w:lang w:eastAsia="es-CO"/>
              </w:rPr>
            </w:pPr>
            <w:r w:rsidRPr="00B81B30">
              <w:rPr>
                <w:b/>
                <w:bCs/>
                <w:lang w:eastAsia="es-CO"/>
              </w:rPr>
              <w:t xml:space="preserve">S0 - Paralelo </w:t>
            </w:r>
          </w:p>
        </w:tc>
        <w:tc>
          <w:tcPr>
            <w:tcW w:w="709" w:type="dxa"/>
            <w:tcBorders>
              <w:top w:val="nil"/>
              <w:left w:val="single" w:sz="8" w:space="0" w:color="auto"/>
              <w:bottom w:val="nil"/>
              <w:right w:val="single" w:sz="8" w:space="0" w:color="auto"/>
            </w:tcBorders>
            <w:shd w:val="clear" w:color="000000" w:fill="FFFFFF"/>
            <w:noWrap/>
            <w:vAlign w:val="bottom"/>
            <w:hideMark/>
          </w:tcPr>
          <w:p w14:paraId="115C0EDB" w14:textId="77777777" w:rsidR="005230AD" w:rsidRPr="005230AD" w:rsidRDefault="005230AD" w:rsidP="00A75EBC">
            <w:pPr>
              <w:rPr>
                <w:lang w:eastAsia="es-CO"/>
              </w:rPr>
            </w:pPr>
            <w:r w:rsidRPr="005230AD">
              <w:rPr>
                <w:lang w:eastAsia="es-CO"/>
              </w:rPr>
              <w:t>100</w:t>
            </w:r>
          </w:p>
        </w:tc>
        <w:tc>
          <w:tcPr>
            <w:tcW w:w="628" w:type="dxa"/>
            <w:tcBorders>
              <w:top w:val="nil"/>
              <w:left w:val="nil"/>
              <w:bottom w:val="nil"/>
              <w:right w:val="single" w:sz="8" w:space="0" w:color="auto"/>
            </w:tcBorders>
            <w:shd w:val="clear" w:color="000000" w:fill="FFFFFF"/>
            <w:noWrap/>
            <w:vAlign w:val="bottom"/>
            <w:hideMark/>
          </w:tcPr>
          <w:p w14:paraId="13B29C63" w14:textId="48FBC1C2" w:rsidR="005230AD" w:rsidRPr="005230AD" w:rsidRDefault="005230AD" w:rsidP="00A75EBC">
            <w:pPr>
              <w:rPr>
                <w:lang w:eastAsia="es-CO"/>
              </w:rPr>
            </w:pPr>
            <w:r w:rsidRPr="005230AD">
              <w:rPr>
                <w:lang w:eastAsia="es-CO"/>
              </w:rPr>
              <w:t>300</w:t>
            </w:r>
          </w:p>
        </w:tc>
        <w:tc>
          <w:tcPr>
            <w:tcW w:w="734" w:type="dxa"/>
            <w:tcBorders>
              <w:top w:val="nil"/>
              <w:left w:val="nil"/>
              <w:bottom w:val="nil"/>
              <w:right w:val="nil"/>
            </w:tcBorders>
            <w:shd w:val="clear" w:color="auto" w:fill="auto"/>
            <w:noWrap/>
            <w:vAlign w:val="bottom"/>
            <w:hideMark/>
          </w:tcPr>
          <w:p w14:paraId="4626379D" w14:textId="77777777" w:rsidR="005230AD" w:rsidRPr="005230AD" w:rsidRDefault="005230AD" w:rsidP="00A75EBC">
            <w:pPr>
              <w:rPr>
                <w:lang w:eastAsia="es-CO"/>
              </w:rPr>
            </w:pPr>
            <w:r w:rsidRPr="005230AD">
              <w:rPr>
                <w:lang w:eastAsia="es-CO"/>
              </w:rPr>
              <w:t>400</w:t>
            </w:r>
          </w:p>
        </w:tc>
        <w:tc>
          <w:tcPr>
            <w:tcW w:w="734" w:type="dxa"/>
            <w:tcBorders>
              <w:top w:val="nil"/>
              <w:left w:val="single" w:sz="8" w:space="0" w:color="auto"/>
              <w:bottom w:val="nil"/>
              <w:right w:val="single" w:sz="8" w:space="0" w:color="auto"/>
            </w:tcBorders>
            <w:shd w:val="clear" w:color="auto" w:fill="auto"/>
            <w:noWrap/>
            <w:vAlign w:val="bottom"/>
            <w:hideMark/>
          </w:tcPr>
          <w:p w14:paraId="43305DF9" w14:textId="77777777" w:rsidR="005230AD" w:rsidRPr="005230AD" w:rsidRDefault="005230AD" w:rsidP="00A75EBC">
            <w:pPr>
              <w:rPr>
                <w:lang w:eastAsia="es-CO"/>
              </w:rPr>
            </w:pPr>
            <w:r w:rsidRPr="005230AD">
              <w:rPr>
                <w:lang w:eastAsia="es-CO"/>
              </w:rPr>
              <w:t>400</w:t>
            </w:r>
          </w:p>
        </w:tc>
        <w:tc>
          <w:tcPr>
            <w:tcW w:w="734" w:type="dxa"/>
            <w:tcBorders>
              <w:top w:val="nil"/>
              <w:left w:val="nil"/>
              <w:bottom w:val="nil"/>
              <w:right w:val="single" w:sz="8" w:space="0" w:color="auto"/>
            </w:tcBorders>
            <w:shd w:val="clear" w:color="auto" w:fill="auto"/>
            <w:noWrap/>
            <w:vAlign w:val="bottom"/>
            <w:hideMark/>
          </w:tcPr>
          <w:p w14:paraId="3191EE6D"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4674A4B0"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03DECCA8" w14:textId="77777777" w:rsidR="005230AD" w:rsidRPr="005230AD" w:rsidRDefault="005230AD" w:rsidP="00A75EBC">
            <w:pPr>
              <w:rPr>
                <w:lang w:eastAsia="es-CO"/>
              </w:rPr>
            </w:pPr>
            <w:r w:rsidRPr="005230AD">
              <w:rPr>
                <w:lang w:eastAsia="es-CO"/>
              </w:rPr>
              <w:t>150</w:t>
            </w:r>
          </w:p>
        </w:tc>
        <w:tc>
          <w:tcPr>
            <w:tcW w:w="734" w:type="dxa"/>
            <w:tcBorders>
              <w:top w:val="nil"/>
              <w:left w:val="nil"/>
              <w:bottom w:val="nil"/>
              <w:right w:val="single" w:sz="8" w:space="0" w:color="auto"/>
            </w:tcBorders>
            <w:shd w:val="clear" w:color="auto" w:fill="auto"/>
            <w:noWrap/>
            <w:vAlign w:val="bottom"/>
            <w:hideMark/>
          </w:tcPr>
          <w:p w14:paraId="155DFEE8" w14:textId="77777777" w:rsidR="005230AD" w:rsidRPr="005230AD" w:rsidRDefault="005230AD" w:rsidP="00A75EBC">
            <w:pPr>
              <w:rPr>
                <w:lang w:eastAsia="es-CO"/>
              </w:rPr>
            </w:pPr>
            <w:r w:rsidRPr="005230AD">
              <w:rPr>
                <w:lang w:eastAsia="es-CO"/>
              </w:rPr>
              <w:t>400</w:t>
            </w:r>
          </w:p>
        </w:tc>
        <w:tc>
          <w:tcPr>
            <w:tcW w:w="734" w:type="dxa"/>
            <w:tcBorders>
              <w:top w:val="nil"/>
              <w:left w:val="nil"/>
              <w:bottom w:val="nil"/>
              <w:right w:val="single" w:sz="8" w:space="0" w:color="auto"/>
            </w:tcBorders>
            <w:shd w:val="clear" w:color="auto" w:fill="auto"/>
            <w:noWrap/>
            <w:vAlign w:val="bottom"/>
            <w:hideMark/>
          </w:tcPr>
          <w:p w14:paraId="5208D4C2"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37D70572" w14:textId="47D75831" w:rsidR="005230AD" w:rsidRPr="005230AD" w:rsidRDefault="0005459A" w:rsidP="00A75EBC">
            <w:pPr>
              <w:rPr>
                <w:lang w:eastAsia="es-CO"/>
              </w:rPr>
            </w:pPr>
            <w:r>
              <w:rPr>
                <w:lang w:eastAsia="es-CO"/>
              </w:rPr>
              <w:t>400</w:t>
            </w:r>
          </w:p>
        </w:tc>
        <w:tc>
          <w:tcPr>
            <w:tcW w:w="734" w:type="dxa"/>
            <w:tcBorders>
              <w:top w:val="nil"/>
              <w:left w:val="nil"/>
              <w:bottom w:val="nil"/>
              <w:right w:val="single" w:sz="8" w:space="0" w:color="auto"/>
            </w:tcBorders>
            <w:shd w:val="clear" w:color="auto" w:fill="auto"/>
            <w:noWrap/>
            <w:vAlign w:val="bottom"/>
            <w:hideMark/>
          </w:tcPr>
          <w:p w14:paraId="4EF8C0A1" w14:textId="77777777" w:rsidR="005230AD" w:rsidRPr="005230AD" w:rsidRDefault="005230AD" w:rsidP="00A75EBC">
            <w:pPr>
              <w:rPr>
                <w:lang w:eastAsia="es-CO"/>
              </w:rPr>
            </w:pPr>
            <w:r w:rsidRPr="005230AD">
              <w:rPr>
                <w:lang w:eastAsia="es-CO"/>
              </w:rPr>
              <w:t>400</w:t>
            </w:r>
          </w:p>
        </w:tc>
      </w:tr>
      <w:tr w:rsidR="005230AD" w:rsidRPr="005230AD" w14:paraId="115FBA3C" w14:textId="77777777" w:rsidTr="000C1162">
        <w:trPr>
          <w:gridAfter w:val="1"/>
          <w:wAfter w:w="734" w:type="dxa"/>
          <w:trHeight w:val="228"/>
        </w:trPr>
        <w:tc>
          <w:tcPr>
            <w:tcW w:w="1124" w:type="dxa"/>
            <w:tcBorders>
              <w:top w:val="nil"/>
              <w:left w:val="single" w:sz="8" w:space="0" w:color="auto"/>
              <w:bottom w:val="nil"/>
              <w:right w:val="nil"/>
            </w:tcBorders>
            <w:shd w:val="clear" w:color="000000" w:fill="FFFFFF"/>
            <w:noWrap/>
            <w:vAlign w:val="bottom"/>
            <w:hideMark/>
          </w:tcPr>
          <w:p w14:paraId="59F28E5C" w14:textId="5574B567" w:rsidR="005230AD" w:rsidRPr="00B81B30" w:rsidRDefault="005230AD" w:rsidP="00A75EBC">
            <w:pPr>
              <w:rPr>
                <w:b/>
                <w:bCs/>
                <w:lang w:eastAsia="es-CO"/>
              </w:rPr>
            </w:pPr>
            <w:r w:rsidRPr="00B81B30">
              <w:rPr>
                <w:b/>
                <w:bCs/>
                <w:lang w:eastAsia="es-CO"/>
              </w:rPr>
              <w:t>S1 - Corto</w:t>
            </w:r>
          </w:p>
        </w:tc>
        <w:tc>
          <w:tcPr>
            <w:tcW w:w="709" w:type="dxa"/>
            <w:tcBorders>
              <w:top w:val="nil"/>
              <w:left w:val="single" w:sz="8" w:space="0" w:color="auto"/>
              <w:bottom w:val="nil"/>
              <w:right w:val="single" w:sz="8" w:space="0" w:color="auto"/>
            </w:tcBorders>
            <w:shd w:val="clear" w:color="000000" w:fill="FFFFFF"/>
            <w:noWrap/>
            <w:vAlign w:val="bottom"/>
            <w:hideMark/>
          </w:tcPr>
          <w:p w14:paraId="494C55E2" w14:textId="77777777" w:rsidR="005230AD" w:rsidRPr="005230AD" w:rsidRDefault="005230AD" w:rsidP="00A75EBC">
            <w:pPr>
              <w:rPr>
                <w:lang w:eastAsia="es-CO"/>
              </w:rPr>
            </w:pPr>
            <w:r w:rsidRPr="005230AD">
              <w:rPr>
                <w:lang w:eastAsia="es-CO"/>
              </w:rPr>
              <w:t>100</w:t>
            </w:r>
          </w:p>
        </w:tc>
        <w:tc>
          <w:tcPr>
            <w:tcW w:w="628" w:type="dxa"/>
            <w:tcBorders>
              <w:top w:val="nil"/>
              <w:left w:val="nil"/>
              <w:bottom w:val="nil"/>
              <w:right w:val="single" w:sz="8" w:space="0" w:color="auto"/>
            </w:tcBorders>
            <w:shd w:val="clear" w:color="000000" w:fill="FFFFFF"/>
            <w:noWrap/>
            <w:vAlign w:val="bottom"/>
            <w:hideMark/>
          </w:tcPr>
          <w:p w14:paraId="10879F9D" w14:textId="2B9B298F" w:rsidR="005230AD" w:rsidRPr="005230AD" w:rsidRDefault="005230AD" w:rsidP="00A75EBC">
            <w:pPr>
              <w:rPr>
                <w:lang w:eastAsia="es-CO"/>
              </w:rPr>
            </w:pPr>
            <w:r w:rsidRPr="005230AD">
              <w:rPr>
                <w:lang w:eastAsia="es-CO"/>
              </w:rPr>
              <w:t>400</w:t>
            </w:r>
          </w:p>
        </w:tc>
        <w:tc>
          <w:tcPr>
            <w:tcW w:w="734" w:type="dxa"/>
            <w:tcBorders>
              <w:top w:val="nil"/>
              <w:left w:val="nil"/>
              <w:bottom w:val="nil"/>
              <w:right w:val="nil"/>
            </w:tcBorders>
            <w:shd w:val="clear" w:color="auto" w:fill="auto"/>
            <w:noWrap/>
            <w:vAlign w:val="bottom"/>
            <w:hideMark/>
          </w:tcPr>
          <w:p w14:paraId="3E02FBB7" w14:textId="77777777" w:rsidR="005230AD" w:rsidRPr="005230AD" w:rsidRDefault="005230AD" w:rsidP="00A75EBC">
            <w:pPr>
              <w:rPr>
                <w:lang w:eastAsia="es-CO"/>
              </w:rPr>
            </w:pPr>
            <w:r w:rsidRPr="005230AD">
              <w:rPr>
                <w:lang w:eastAsia="es-CO"/>
              </w:rPr>
              <w:t>500</w:t>
            </w:r>
          </w:p>
        </w:tc>
        <w:tc>
          <w:tcPr>
            <w:tcW w:w="734" w:type="dxa"/>
            <w:tcBorders>
              <w:top w:val="nil"/>
              <w:left w:val="single" w:sz="8" w:space="0" w:color="auto"/>
              <w:bottom w:val="nil"/>
              <w:right w:val="single" w:sz="8" w:space="0" w:color="auto"/>
            </w:tcBorders>
            <w:shd w:val="clear" w:color="auto" w:fill="auto"/>
            <w:noWrap/>
            <w:vAlign w:val="bottom"/>
            <w:hideMark/>
          </w:tcPr>
          <w:p w14:paraId="137F5F5E" w14:textId="77777777" w:rsidR="005230AD" w:rsidRPr="005230AD" w:rsidRDefault="005230AD" w:rsidP="00A75EBC">
            <w:pPr>
              <w:rPr>
                <w:lang w:eastAsia="es-CO"/>
              </w:rPr>
            </w:pPr>
            <w:r w:rsidRPr="005230AD">
              <w:rPr>
                <w:lang w:eastAsia="es-CO"/>
              </w:rPr>
              <w:t>500</w:t>
            </w:r>
          </w:p>
        </w:tc>
        <w:tc>
          <w:tcPr>
            <w:tcW w:w="734" w:type="dxa"/>
            <w:tcBorders>
              <w:top w:val="nil"/>
              <w:left w:val="nil"/>
              <w:bottom w:val="nil"/>
              <w:right w:val="single" w:sz="8" w:space="0" w:color="auto"/>
            </w:tcBorders>
            <w:shd w:val="clear" w:color="auto" w:fill="auto"/>
            <w:noWrap/>
            <w:vAlign w:val="bottom"/>
            <w:hideMark/>
          </w:tcPr>
          <w:p w14:paraId="187A625B" w14:textId="77777777" w:rsidR="005230AD" w:rsidRPr="005230AD" w:rsidRDefault="005230AD"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hideMark/>
          </w:tcPr>
          <w:p w14:paraId="2A1C024B" w14:textId="77777777" w:rsidR="005230AD" w:rsidRPr="005230AD" w:rsidRDefault="005230AD"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hideMark/>
          </w:tcPr>
          <w:p w14:paraId="0F90CACB" w14:textId="77777777" w:rsidR="005230AD" w:rsidRPr="005230AD" w:rsidRDefault="005230AD" w:rsidP="00A75EBC">
            <w:pPr>
              <w:rPr>
                <w:lang w:eastAsia="es-CO"/>
              </w:rPr>
            </w:pPr>
            <w:r w:rsidRPr="005230AD">
              <w:rPr>
                <w:lang w:eastAsia="es-CO"/>
              </w:rPr>
              <w:t>200</w:t>
            </w:r>
          </w:p>
        </w:tc>
        <w:tc>
          <w:tcPr>
            <w:tcW w:w="734" w:type="dxa"/>
            <w:tcBorders>
              <w:top w:val="nil"/>
              <w:left w:val="nil"/>
              <w:bottom w:val="nil"/>
              <w:right w:val="single" w:sz="8" w:space="0" w:color="auto"/>
            </w:tcBorders>
            <w:shd w:val="clear" w:color="auto" w:fill="auto"/>
            <w:noWrap/>
            <w:vAlign w:val="bottom"/>
            <w:hideMark/>
          </w:tcPr>
          <w:p w14:paraId="40C09587" w14:textId="77777777" w:rsidR="005230AD" w:rsidRPr="005230AD" w:rsidRDefault="005230AD" w:rsidP="00A75EBC">
            <w:pPr>
              <w:rPr>
                <w:lang w:eastAsia="es-CO"/>
              </w:rPr>
            </w:pPr>
            <w:r w:rsidRPr="005230AD">
              <w:rPr>
                <w:lang w:eastAsia="es-CO"/>
              </w:rPr>
              <w:t>500</w:t>
            </w:r>
          </w:p>
        </w:tc>
        <w:tc>
          <w:tcPr>
            <w:tcW w:w="734" w:type="dxa"/>
            <w:tcBorders>
              <w:top w:val="nil"/>
              <w:left w:val="nil"/>
              <w:bottom w:val="nil"/>
              <w:right w:val="single" w:sz="8" w:space="0" w:color="auto"/>
            </w:tcBorders>
            <w:shd w:val="clear" w:color="auto" w:fill="auto"/>
            <w:noWrap/>
            <w:vAlign w:val="bottom"/>
            <w:hideMark/>
          </w:tcPr>
          <w:p w14:paraId="37353655" w14:textId="77777777" w:rsidR="005230AD" w:rsidRPr="005230AD" w:rsidRDefault="005230AD" w:rsidP="00A75EBC">
            <w:pPr>
              <w:rPr>
                <w:lang w:eastAsia="es-CO"/>
              </w:rPr>
            </w:pPr>
            <w:r w:rsidRPr="005230AD">
              <w:rPr>
                <w:lang w:eastAsia="es-CO"/>
              </w:rPr>
              <w:t>300</w:t>
            </w:r>
          </w:p>
        </w:tc>
        <w:tc>
          <w:tcPr>
            <w:tcW w:w="734" w:type="dxa"/>
            <w:tcBorders>
              <w:top w:val="nil"/>
              <w:left w:val="nil"/>
              <w:bottom w:val="nil"/>
              <w:right w:val="single" w:sz="8" w:space="0" w:color="auto"/>
            </w:tcBorders>
            <w:shd w:val="clear" w:color="auto" w:fill="auto"/>
            <w:noWrap/>
            <w:vAlign w:val="bottom"/>
            <w:hideMark/>
          </w:tcPr>
          <w:p w14:paraId="0F723000" w14:textId="77777777" w:rsidR="005230AD" w:rsidRPr="005230AD" w:rsidRDefault="005230AD" w:rsidP="00A75EBC">
            <w:pPr>
              <w:rPr>
                <w:lang w:eastAsia="es-CO"/>
              </w:rPr>
            </w:pPr>
            <w:r w:rsidRPr="005230AD">
              <w:rPr>
                <w:lang w:eastAsia="es-CO"/>
              </w:rPr>
              <w:t>500</w:t>
            </w:r>
          </w:p>
        </w:tc>
        <w:tc>
          <w:tcPr>
            <w:tcW w:w="734" w:type="dxa"/>
            <w:tcBorders>
              <w:top w:val="nil"/>
              <w:left w:val="nil"/>
              <w:bottom w:val="nil"/>
              <w:right w:val="single" w:sz="8" w:space="0" w:color="auto"/>
            </w:tcBorders>
            <w:shd w:val="clear" w:color="auto" w:fill="auto"/>
            <w:noWrap/>
            <w:vAlign w:val="bottom"/>
            <w:hideMark/>
          </w:tcPr>
          <w:p w14:paraId="2AA830AA" w14:textId="77777777" w:rsidR="005230AD" w:rsidRPr="005230AD" w:rsidRDefault="005230AD" w:rsidP="00A75EBC">
            <w:pPr>
              <w:rPr>
                <w:lang w:eastAsia="es-CO"/>
              </w:rPr>
            </w:pPr>
            <w:r w:rsidRPr="005230AD">
              <w:rPr>
                <w:lang w:eastAsia="es-CO"/>
              </w:rPr>
              <w:t>500</w:t>
            </w:r>
          </w:p>
        </w:tc>
      </w:tr>
      <w:tr w:rsidR="005230AD" w:rsidRPr="005230AD" w14:paraId="76DA36F8" w14:textId="77777777" w:rsidTr="000C1162">
        <w:trPr>
          <w:gridAfter w:val="1"/>
          <w:wAfter w:w="734" w:type="dxa"/>
          <w:trHeight w:val="239"/>
        </w:trPr>
        <w:tc>
          <w:tcPr>
            <w:tcW w:w="1124" w:type="dxa"/>
            <w:tcBorders>
              <w:top w:val="nil"/>
              <w:left w:val="single" w:sz="8" w:space="0" w:color="auto"/>
              <w:bottom w:val="single" w:sz="8" w:space="0" w:color="auto"/>
              <w:right w:val="nil"/>
            </w:tcBorders>
            <w:shd w:val="clear" w:color="000000" w:fill="FFFFFF"/>
            <w:noWrap/>
            <w:vAlign w:val="bottom"/>
            <w:hideMark/>
          </w:tcPr>
          <w:p w14:paraId="2078466C" w14:textId="0FE05AF5" w:rsidR="005230AD" w:rsidRPr="00B81B30" w:rsidRDefault="005230AD" w:rsidP="00A75EBC">
            <w:pPr>
              <w:rPr>
                <w:b/>
                <w:bCs/>
                <w:lang w:eastAsia="es-CO"/>
              </w:rPr>
            </w:pPr>
            <w:r w:rsidRPr="00B81B30">
              <w:rPr>
                <w:b/>
                <w:bCs/>
                <w:lang w:eastAsia="es-CO"/>
              </w:rPr>
              <w:t>S2 - Largo</w:t>
            </w:r>
          </w:p>
        </w:tc>
        <w:tc>
          <w:tcPr>
            <w:tcW w:w="709" w:type="dxa"/>
            <w:tcBorders>
              <w:top w:val="nil"/>
              <w:left w:val="single" w:sz="8" w:space="0" w:color="auto"/>
              <w:bottom w:val="single" w:sz="8" w:space="0" w:color="auto"/>
              <w:right w:val="single" w:sz="8" w:space="0" w:color="auto"/>
            </w:tcBorders>
            <w:shd w:val="clear" w:color="000000" w:fill="FFFFFF"/>
            <w:noWrap/>
            <w:vAlign w:val="bottom"/>
            <w:hideMark/>
          </w:tcPr>
          <w:p w14:paraId="413260AC" w14:textId="77777777" w:rsidR="005230AD" w:rsidRPr="005230AD" w:rsidRDefault="005230AD" w:rsidP="00A75EBC">
            <w:pPr>
              <w:rPr>
                <w:lang w:eastAsia="es-CO"/>
              </w:rPr>
            </w:pPr>
            <w:r w:rsidRPr="005230AD">
              <w:rPr>
                <w:lang w:eastAsia="es-CO"/>
              </w:rPr>
              <w:t>100</w:t>
            </w:r>
          </w:p>
        </w:tc>
        <w:tc>
          <w:tcPr>
            <w:tcW w:w="628" w:type="dxa"/>
            <w:tcBorders>
              <w:top w:val="nil"/>
              <w:left w:val="nil"/>
              <w:bottom w:val="single" w:sz="8" w:space="0" w:color="auto"/>
              <w:right w:val="single" w:sz="8" w:space="0" w:color="auto"/>
            </w:tcBorders>
            <w:shd w:val="clear" w:color="000000" w:fill="FFFFFF"/>
            <w:noWrap/>
            <w:vAlign w:val="bottom"/>
            <w:hideMark/>
          </w:tcPr>
          <w:p w14:paraId="44B36C3E" w14:textId="31A4311D" w:rsidR="005230AD" w:rsidRPr="005230AD" w:rsidRDefault="005230AD" w:rsidP="00A75EBC">
            <w:pPr>
              <w:rPr>
                <w:lang w:eastAsia="es-CO"/>
              </w:rPr>
            </w:pPr>
            <w:r w:rsidRPr="005230AD">
              <w:rPr>
                <w:lang w:eastAsia="es-CO"/>
              </w:rPr>
              <w:t>200</w:t>
            </w:r>
          </w:p>
        </w:tc>
        <w:tc>
          <w:tcPr>
            <w:tcW w:w="734" w:type="dxa"/>
            <w:tcBorders>
              <w:top w:val="nil"/>
              <w:left w:val="nil"/>
              <w:bottom w:val="single" w:sz="8" w:space="0" w:color="auto"/>
              <w:right w:val="nil"/>
            </w:tcBorders>
            <w:shd w:val="clear" w:color="auto" w:fill="auto"/>
            <w:noWrap/>
            <w:vAlign w:val="bottom"/>
            <w:hideMark/>
          </w:tcPr>
          <w:p w14:paraId="324C647C" w14:textId="77777777" w:rsidR="005230AD" w:rsidRPr="005230AD" w:rsidRDefault="005230AD" w:rsidP="00A75EBC">
            <w:pPr>
              <w:rPr>
                <w:lang w:eastAsia="es-CO"/>
              </w:rPr>
            </w:pPr>
            <w:r w:rsidRPr="005230AD">
              <w:rPr>
                <w:lang w:eastAsia="es-CO"/>
              </w:rPr>
              <w:t>300</w:t>
            </w:r>
          </w:p>
        </w:tc>
        <w:tc>
          <w:tcPr>
            <w:tcW w:w="734" w:type="dxa"/>
            <w:tcBorders>
              <w:top w:val="nil"/>
              <w:left w:val="single" w:sz="8" w:space="0" w:color="auto"/>
              <w:bottom w:val="single" w:sz="8" w:space="0" w:color="auto"/>
              <w:right w:val="single" w:sz="8" w:space="0" w:color="auto"/>
            </w:tcBorders>
            <w:shd w:val="clear" w:color="auto" w:fill="auto"/>
            <w:noWrap/>
            <w:vAlign w:val="bottom"/>
            <w:hideMark/>
          </w:tcPr>
          <w:p w14:paraId="37B7BA58" w14:textId="77777777" w:rsidR="005230AD" w:rsidRPr="005230AD" w:rsidRDefault="005230AD" w:rsidP="00A75EBC">
            <w:pPr>
              <w:rPr>
                <w:lang w:eastAsia="es-CO"/>
              </w:rPr>
            </w:pPr>
            <w:r w:rsidRPr="005230AD">
              <w:rPr>
                <w:lang w:eastAsia="es-CO"/>
              </w:rPr>
              <w:t>300</w:t>
            </w:r>
          </w:p>
        </w:tc>
        <w:tc>
          <w:tcPr>
            <w:tcW w:w="734" w:type="dxa"/>
            <w:tcBorders>
              <w:top w:val="nil"/>
              <w:left w:val="nil"/>
              <w:bottom w:val="single" w:sz="8" w:space="0" w:color="auto"/>
              <w:right w:val="single" w:sz="8" w:space="0" w:color="auto"/>
            </w:tcBorders>
            <w:shd w:val="clear" w:color="auto" w:fill="auto"/>
            <w:noWrap/>
            <w:vAlign w:val="bottom"/>
            <w:hideMark/>
          </w:tcPr>
          <w:p w14:paraId="1E749EE2" w14:textId="77777777" w:rsidR="005230AD" w:rsidRPr="005230AD" w:rsidRDefault="005230AD" w:rsidP="00A75EBC">
            <w:pPr>
              <w:rPr>
                <w:lang w:eastAsia="es-CO"/>
              </w:rPr>
            </w:pPr>
            <w:r w:rsidRPr="005230AD">
              <w:rPr>
                <w:lang w:eastAsia="es-CO"/>
              </w:rPr>
              <w:t>150</w:t>
            </w:r>
          </w:p>
        </w:tc>
        <w:tc>
          <w:tcPr>
            <w:tcW w:w="734" w:type="dxa"/>
            <w:tcBorders>
              <w:top w:val="nil"/>
              <w:left w:val="nil"/>
              <w:bottom w:val="single" w:sz="8" w:space="0" w:color="auto"/>
              <w:right w:val="nil"/>
            </w:tcBorders>
            <w:shd w:val="clear" w:color="auto" w:fill="auto"/>
            <w:noWrap/>
            <w:vAlign w:val="bottom"/>
            <w:hideMark/>
          </w:tcPr>
          <w:p w14:paraId="7B000091" w14:textId="77777777" w:rsidR="005230AD" w:rsidRPr="005230AD" w:rsidRDefault="005230AD" w:rsidP="00A75EBC">
            <w:pPr>
              <w:rPr>
                <w:lang w:eastAsia="es-CO"/>
              </w:rPr>
            </w:pPr>
            <w:r w:rsidRPr="005230AD">
              <w:rPr>
                <w:lang w:eastAsia="es-CO"/>
              </w:rPr>
              <w:t>150</w:t>
            </w:r>
          </w:p>
        </w:tc>
        <w:tc>
          <w:tcPr>
            <w:tcW w:w="734" w:type="dxa"/>
            <w:tcBorders>
              <w:top w:val="nil"/>
              <w:left w:val="single" w:sz="8" w:space="0" w:color="auto"/>
              <w:bottom w:val="single" w:sz="8" w:space="0" w:color="auto"/>
              <w:right w:val="single" w:sz="8" w:space="0" w:color="auto"/>
            </w:tcBorders>
            <w:shd w:val="clear" w:color="auto" w:fill="auto"/>
            <w:noWrap/>
            <w:vAlign w:val="bottom"/>
            <w:hideMark/>
          </w:tcPr>
          <w:p w14:paraId="4A22AAEB" w14:textId="77777777" w:rsidR="005230AD" w:rsidRPr="005230AD" w:rsidRDefault="005230AD" w:rsidP="00A75EBC">
            <w:pPr>
              <w:rPr>
                <w:lang w:eastAsia="es-CO"/>
              </w:rPr>
            </w:pPr>
            <w:r w:rsidRPr="005230AD">
              <w:rPr>
                <w:lang w:eastAsia="es-CO"/>
              </w:rPr>
              <w:t>100</w:t>
            </w:r>
          </w:p>
        </w:tc>
        <w:tc>
          <w:tcPr>
            <w:tcW w:w="734" w:type="dxa"/>
            <w:tcBorders>
              <w:top w:val="nil"/>
              <w:left w:val="nil"/>
              <w:bottom w:val="single" w:sz="8" w:space="0" w:color="auto"/>
              <w:right w:val="nil"/>
            </w:tcBorders>
            <w:shd w:val="clear" w:color="auto" w:fill="auto"/>
            <w:noWrap/>
            <w:vAlign w:val="bottom"/>
            <w:hideMark/>
          </w:tcPr>
          <w:p w14:paraId="2F03D71C" w14:textId="77777777" w:rsidR="005230AD" w:rsidRPr="005230AD" w:rsidRDefault="005230AD" w:rsidP="00A75EBC">
            <w:pPr>
              <w:rPr>
                <w:lang w:eastAsia="es-CO"/>
              </w:rPr>
            </w:pPr>
            <w:r w:rsidRPr="005230AD">
              <w:rPr>
                <w:lang w:eastAsia="es-CO"/>
              </w:rPr>
              <w:t>300</w:t>
            </w:r>
          </w:p>
        </w:tc>
        <w:tc>
          <w:tcPr>
            <w:tcW w:w="734" w:type="dxa"/>
            <w:tcBorders>
              <w:top w:val="nil"/>
              <w:left w:val="single" w:sz="8" w:space="0" w:color="auto"/>
              <w:bottom w:val="single" w:sz="8" w:space="0" w:color="auto"/>
              <w:right w:val="single" w:sz="8" w:space="0" w:color="auto"/>
            </w:tcBorders>
            <w:shd w:val="clear" w:color="auto" w:fill="auto"/>
            <w:noWrap/>
            <w:vAlign w:val="bottom"/>
            <w:hideMark/>
          </w:tcPr>
          <w:p w14:paraId="41600990" w14:textId="77777777" w:rsidR="005230AD" w:rsidRPr="005230AD" w:rsidRDefault="005230AD" w:rsidP="00A75EBC">
            <w:pPr>
              <w:rPr>
                <w:lang w:eastAsia="es-CO"/>
              </w:rPr>
            </w:pPr>
            <w:r w:rsidRPr="005230AD">
              <w:rPr>
                <w:lang w:eastAsia="es-CO"/>
              </w:rPr>
              <w:t>150</w:t>
            </w:r>
          </w:p>
        </w:tc>
        <w:tc>
          <w:tcPr>
            <w:tcW w:w="734" w:type="dxa"/>
            <w:tcBorders>
              <w:top w:val="nil"/>
              <w:left w:val="nil"/>
              <w:bottom w:val="single" w:sz="8" w:space="0" w:color="auto"/>
              <w:right w:val="single" w:sz="8" w:space="0" w:color="auto"/>
            </w:tcBorders>
            <w:shd w:val="clear" w:color="auto" w:fill="auto"/>
            <w:noWrap/>
            <w:vAlign w:val="bottom"/>
            <w:hideMark/>
          </w:tcPr>
          <w:p w14:paraId="1C5BC297" w14:textId="77777777" w:rsidR="005230AD" w:rsidRPr="005230AD" w:rsidRDefault="005230AD" w:rsidP="00A75EBC">
            <w:pPr>
              <w:rPr>
                <w:lang w:eastAsia="es-CO"/>
              </w:rPr>
            </w:pPr>
            <w:r w:rsidRPr="005230AD">
              <w:rPr>
                <w:lang w:eastAsia="es-CO"/>
              </w:rPr>
              <w:t>300</w:t>
            </w:r>
          </w:p>
        </w:tc>
        <w:tc>
          <w:tcPr>
            <w:tcW w:w="734" w:type="dxa"/>
            <w:tcBorders>
              <w:top w:val="nil"/>
              <w:left w:val="nil"/>
              <w:bottom w:val="single" w:sz="8" w:space="0" w:color="auto"/>
              <w:right w:val="single" w:sz="8" w:space="0" w:color="auto"/>
            </w:tcBorders>
            <w:shd w:val="clear" w:color="auto" w:fill="auto"/>
            <w:noWrap/>
            <w:vAlign w:val="bottom"/>
            <w:hideMark/>
          </w:tcPr>
          <w:p w14:paraId="0744D634" w14:textId="7C1190B5" w:rsidR="005230AD" w:rsidRPr="005230AD" w:rsidRDefault="005230AD" w:rsidP="00A75EBC">
            <w:pPr>
              <w:rPr>
                <w:lang w:eastAsia="es-CO"/>
              </w:rPr>
            </w:pPr>
            <w:r w:rsidRPr="005230AD">
              <w:rPr>
                <w:lang w:eastAsia="es-CO"/>
              </w:rPr>
              <w:t>300</w:t>
            </w:r>
          </w:p>
        </w:tc>
      </w:tr>
    </w:tbl>
    <w:p w14:paraId="4193355E" w14:textId="121F6941" w:rsidR="001C457C" w:rsidRPr="00A93CEF" w:rsidRDefault="001C457C" w:rsidP="00A75EBC">
      <w:r w:rsidRPr="00A93CEF">
        <w:rPr>
          <w:b/>
        </w:rPr>
        <w:t>*</w:t>
      </w:r>
      <w:r w:rsidRPr="00A93CEF">
        <w:t xml:space="preserve"> </w:t>
      </w:r>
      <w:r w:rsidR="00086B26" w:rsidRPr="008E3472">
        <w:rPr>
          <w:i/>
          <w:iCs/>
        </w:rPr>
        <w:t xml:space="preserve">las perturbaciones para el COP </w:t>
      </w:r>
      <w:r w:rsidR="000C1162">
        <w:rPr>
          <w:i/>
          <w:iCs/>
        </w:rPr>
        <w:t>y UVR</w:t>
      </w:r>
      <w:r w:rsidR="00086B26" w:rsidRPr="008E3472">
        <w:rPr>
          <w:i/>
          <w:iCs/>
        </w:rPr>
        <w:t xml:space="preserve"> se calcularon usando </w:t>
      </w:r>
      <w:r w:rsidR="0013783A" w:rsidRPr="008E3472">
        <w:rPr>
          <w:i/>
          <w:iCs/>
        </w:rPr>
        <w:t xml:space="preserve">la información </w:t>
      </w:r>
      <w:r w:rsidR="00B55572" w:rsidRPr="008E3472">
        <w:rPr>
          <w:i/>
          <w:iCs/>
        </w:rPr>
        <w:t xml:space="preserve">de la curva </w:t>
      </w:r>
      <w:proofErr w:type="gramStart"/>
      <w:r w:rsidR="00B55572" w:rsidRPr="008E3472">
        <w:rPr>
          <w:i/>
          <w:iCs/>
        </w:rPr>
        <w:t>cero</w:t>
      </w:r>
      <w:r w:rsidR="000B5409" w:rsidRPr="008E3472">
        <w:rPr>
          <w:i/>
          <w:iCs/>
        </w:rPr>
        <w:t xml:space="preserve"> cupón</w:t>
      </w:r>
      <w:proofErr w:type="gramEnd"/>
      <w:r w:rsidR="006034FF">
        <w:rPr>
          <w:i/>
          <w:iCs/>
        </w:rPr>
        <w:t>.</w:t>
      </w:r>
    </w:p>
    <w:p w14:paraId="2D31F4F9" w14:textId="77777777" w:rsidR="00006AC9" w:rsidRDefault="00006AC9" w:rsidP="00A75EBC"/>
    <w:p w14:paraId="47238620" w14:textId="5AA5E433" w:rsidR="00006AC9" w:rsidRPr="00A61552" w:rsidRDefault="00236B43" w:rsidP="00A75EBC">
      <w:pPr>
        <w:rPr>
          <w:b/>
          <w:bCs/>
        </w:rPr>
      </w:pPr>
      <w:r w:rsidRPr="00A61552">
        <w:rPr>
          <w:b/>
          <w:bCs/>
        </w:rPr>
        <w:t xml:space="preserve">1.3.1 </w:t>
      </w:r>
      <w:r w:rsidR="00006AC9" w:rsidRPr="00A61552">
        <w:rPr>
          <w:b/>
          <w:bCs/>
        </w:rPr>
        <w:t xml:space="preserve">Metodología para determinar el tamaño de las perturbaciones de las tasas de interés no definidas en la Tabla </w:t>
      </w:r>
      <w:r w:rsidR="007C7798" w:rsidRPr="00A61552">
        <w:rPr>
          <w:b/>
          <w:bCs/>
        </w:rPr>
        <w:t>1</w:t>
      </w:r>
    </w:p>
    <w:p w14:paraId="27007D0A" w14:textId="77777777" w:rsidR="00A61552" w:rsidRPr="00FC45CA" w:rsidRDefault="00A61552" w:rsidP="00A75EBC"/>
    <w:p w14:paraId="38DD5C28" w14:textId="2568D285" w:rsidR="00006AC9" w:rsidRPr="00A93CEF" w:rsidRDefault="00006AC9" w:rsidP="00A75EBC">
      <w:r w:rsidRPr="00A93CEF">
        <w:t xml:space="preserve">Para calibrar la perturbación de las monedas que no están especificadas en la Tabla </w:t>
      </w:r>
      <w:r w:rsidR="007C7798">
        <w:t>1</w:t>
      </w:r>
      <w:r w:rsidR="003E770A">
        <w:t xml:space="preserve"> del </w:t>
      </w:r>
      <w:proofErr w:type="spellStart"/>
      <w:r w:rsidR="003E770A">
        <w:t>subnumeral</w:t>
      </w:r>
      <w:proofErr w:type="spellEnd"/>
      <w:r w:rsidR="003E770A">
        <w:t xml:space="preserve"> 1.3</w:t>
      </w:r>
      <w:r w:rsidRPr="00A93CEF">
        <w:t xml:space="preserve">, </w:t>
      </w:r>
      <w:r w:rsidR="00C63C7D">
        <w:t xml:space="preserve">la entidad </w:t>
      </w:r>
      <w:r w:rsidR="00A15468">
        <w:t xml:space="preserve">debe </w:t>
      </w:r>
      <w:r w:rsidRPr="00A93CEF">
        <w:t>aplica</w:t>
      </w:r>
      <w:r w:rsidR="00A15468">
        <w:t>r</w:t>
      </w:r>
      <w:r w:rsidRPr="00A93CEF">
        <w:t xml:space="preserve"> el procedimiento que se describe </w:t>
      </w:r>
      <w:r w:rsidR="00A15468">
        <w:t>a continuación:</w:t>
      </w:r>
      <w:r w:rsidRPr="00A93CEF">
        <w:t xml:space="preserve"> </w:t>
      </w:r>
    </w:p>
    <w:p w14:paraId="4F338DC2" w14:textId="77777777" w:rsidR="00A61552" w:rsidRPr="00FC45CA" w:rsidRDefault="00A61552" w:rsidP="00A75EBC"/>
    <w:p w14:paraId="1F253EE7" w14:textId="549659C4" w:rsidR="00006AC9" w:rsidRPr="00896BE8" w:rsidRDefault="00006AC9" w:rsidP="00A75EBC">
      <w:pPr>
        <w:rPr>
          <w:u w:val="single"/>
        </w:rPr>
      </w:pPr>
      <w:r w:rsidRPr="00896BE8">
        <w:rPr>
          <w:u w:val="single"/>
        </w:rPr>
        <w:t>Paso 1: C</w:t>
      </w:r>
      <w:r w:rsidR="00506F7E">
        <w:rPr>
          <w:u w:val="single"/>
        </w:rPr>
        <w:t>alcular</w:t>
      </w:r>
      <w:r w:rsidRPr="00896BE8">
        <w:rPr>
          <w:u w:val="single"/>
        </w:rPr>
        <w:t xml:space="preserve"> la tasa de interés diaria promedio</w:t>
      </w:r>
    </w:p>
    <w:p w14:paraId="75E4C39A" w14:textId="77777777" w:rsidR="00A15468" w:rsidRPr="001921BE" w:rsidRDefault="00A15468" w:rsidP="00A75EBC">
      <w:pPr>
        <w:rPr>
          <w:sz w:val="12"/>
          <w:szCs w:val="12"/>
        </w:rPr>
      </w:pPr>
    </w:p>
    <w:p w14:paraId="72EAEB9F" w14:textId="675592E3" w:rsidR="00006AC9" w:rsidRPr="00A93CEF" w:rsidRDefault="00E1098F" w:rsidP="00A75EBC">
      <w:r>
        <w:t>C</w:t>
      </w:r>
      <w:r w:rsidR="00006AC9" w:rsidRPr="00A93CEF">
        <w:t>onstruir una serie de tiempo de por lo menos 16 años para las tasas de interés diarias libres de riesgo</w:t>
      </w:r>
      <w:r>
        <w:t>,</w:t>
      </w:r>
      <w:r w:rsidR="00006AC9" w:rsidRPr="00A93CEF">
        <w:t xml:space="preserve"> para cada moneda </w:t>
      </w:r>
      <m:oMath>
        <m:r>
          <w:rPr>
            <w:rFonts w:ascii="Cambria Math" w:hAnsi="Cambria Math"/>
          </w:rPr>
          <m:t>c</m:t>
        </m:r>
      </m:oMath>
      <w:r w:rsidR="00006AC9" w:rsidRPr="00A93CEF">
        <w:t xml:space="preserve"> para los plazos de maduración 3M, 6M, 1</w:t>
      </w:r>
      <w:r w:rsidR="00D667D5">
        <w:t>A</w:t>
      </w:r>
      <w:r w:rsidR="00006AC9" w:rsidRPr="00A93CEF">
        <w:t>, 2</w:t>
      </w:r>
      <w:r w:rsidR="00D667D5">
        <w:t>A</w:t>
      </w:r>
      <w:r w:rsidR="00006AC9" w:rsidRPr="00A93CEF">
        <w:t>, 5</w:t>
      </w:r>
      <w:r w:rsidR="00D667D5">
        <w:t>A</w:t>
      </w:r>
      <w:r w:rsidR="00006AC9" w:rsidRPr="00A93CEF">
        <w:t>, 7</w:t>
      </w:r>
      <w:r w:rsidR="00D667D5">
        <w:t>A</w:t>
      </w:r>
      <w:r w:rsidR="00006AC9" w:rsidRPr="00A93CEF">
        <w:t>, 10</w:t>
      </w:r>
      <w:r w:rsidR="00D667D5">
        <w:t>A</w:t>
      </w:r>
      <w:r w:rsidR="00006AC9" w:rsidRPr="00A93CEF">
        <w:t>, 15</w:t>
      </w:r>
      <w:r w:rsidR="00D667D5">
        <w:t>A</w:t>
      </w:r>
      <w:r w:rsidR="00006AC9" w:rsidRPr="00A93CEF">
        <w:t xml:space="preserve"> y 20</w:t>
      </w:r>
      <w:r w:rsidR="00D667D5">
        <w:t>A</w:t>
      </w:r>
      <w:r w:rsidR="00006AC9" w:rsidRPr="00A93CEF">
        <w:t xml:space="preserve">. A estos datos se les </w:t>
      </w:r>
      <w:r w:rsidR="00AE0EBE">
        <w:t xml:space="preserve">debe </w:t>
      </w:r>
      <w:r w:rsidR="00006AC9" w:rsidRPr="00A93CEF">
        <w:t>calcula</w:t>
      </w:r>
      <w:r w:rsidR="00AE0EBE">
        <w:t>r</w:t>
      </w:r>
      <w:r w:rsidR="00006AC9" w:rsidRPr="00A93CEF">
        <w:t xml:space="preserve"> el promedio global para cada moneda </w:t>
      </w:r>
      <m:oMath>
        <m:r>
          <w:rPr>
            <w:rFonts w:ascii="Cambria Math" w:hAnsi="Cambria Math"/>
          </w:rPr>
          <m:t>c</m:t>
        </m:r>
      </m:oMath>
      <w:r w:rsidR="00006AC9" w:rsidRPr="00A93CEF">
        <w:t xml:space="preserve"> a través de todas las observaciones y plazos de maduración. El resultado </w:t>
      </w:r>
      <w:r w:rsidR="00AE0EBE">
        <w:t>debe ser</w:t>
      </w:r>
      <w:r w:rsidR="00006AC9" w:rsidRPr="00A93CEF">
        <w:t xml:space="preserve"> un sólo dato por cada moneda </w:t>
      </w:r>
      <m:oMath>
        <m:r>
          <w:rPr>
            <w:rFonts w:ascii="Cambria Math" w:hAnsi="Cambria Math"/>
          </w:rPr>
          <m:t>c</m:t>
        </m:r>
      </m:oMath>
      <w:r w:rsidR="00006AC9" w:rsidRPr="00A93CEF">
        <w:rPr>
          <w:rFonts w:eastAsiaTheme="minorEastAsia"/>
        </w:rPr>
        <w:t>.</w:t>
      </w:r>
    </w:p>
    <w:p w14:paraId="247B3FC3" w14:textId="77777777" w:rsidR="00A61552" w:rsidRPr="001921BE" w:rsidRDefault="00A61552" w:rsidP="00A75EBC">
      <w:pPr>
        <w:rPr>
          <w:sz w:val="12"/>
          <w:szCs w:val="12"/>
        </w:rPr>
      </w:pPr>
    </w:p>
    <w:p w14:paraId="395E2C72" w14:textId="07D228FE" w:rsidR="00006AC9" w:rsidRPr="0046223A" w:rsidRDefault="00006AC9" w:rsidP="00A75EBC">
      <w:pPr>
        <w:rPr>
          <w:u w:val="single"/>
        </w:rPr>
      </w:pPr>
      <w:r w:rsidRPr="0046223A">
        <w:rPr>
          <w:u w:val="single"/>
        </w:rPr>
        <w:t>Paso 2: Aplicar el parámetro de choque global</w:t>
      </w:r>
    </w:p>
    <w:p w14:paraId="6AB743BD" w14:textId="77777777" w:rsidR="0046223A" w:rsidRDefault="0046223A" w:rsidP="00A75EBC"/>
    <w:p w14:paraId="6CDBEAA7" w14:textId="0B714072" w:rsidR="00006AC9" w:rsidRPr="00A93CEF" w:rsidRDefault="009136A5" w:rsidP="00A75EBC">
      <w:r>
        <w:t>A</w:t>
      </w:r>
      <w:r w:rsidR="00006AC9" w:rsidRPr="00A93CEF">
        <w:t xml:space="preserve">plicar al resultado del paso anterior para cada moneda </w:t>
      </w:r>
      <m:oMath>
        <m:r>
          <w:rPr>
            <w:rFonts w:ascii="Cambria Math" w:hAnsi="Cambria Math"/>
          </w:rPr>
          <m:t>c</m:t>
        </m:r>
      </m:oMath>
      <w:r>
        <w:rPr>
          <w:rFonts w:eastAsiaTheme="minorEastAsia"/>
        </w:rPr>
        <w:t>, e</w:t>
      </w:r>
      <w:r w:rsidRPr="00A93CEF">
        <w:t xml:space="preserve">l parámetro de choque global reportado en la Tabla </w:t>
      </w:r>
      <w:r>
        <w:t>2 que se cita a continuación</w:t>
      </w:r>
      <w:r w:rsidR="006E7445">
        <w:t>:</w:t>
      </w:r>
    </w:p>
    <w:p w14:paraId="2C3931AB" w14:textId="077F4E7D" w:rsidR="0046223A" w:rsidRDefault="0046223A" w:rsidP="00A75EBC"/>
    <w:p w14:paraId="39F2BA06" w14:textId="31846498" w:rsidR="00343763" w:rsidRDefault="00343763" w:rsidP="00A75EBC"/>
    <w:p w14:paraId="3F13E998" w14:textId="79F545E8" w:rsidR="00343763" w:rsidRDefault="00343763" w:rsidP="00A75EBC"/>
    <w:p w14:paraId="5187BF61" w14:textId="1A7434DE" w:rsidR="00343763" w:rsidRDefault="00CA4213" w:rsidP="00A75EBC">
      <w:r>
        <w:rPr>
          <w:noProof/>
        </w:rPr>
        <w:lastRenderedPageBreak/>
        <mc:AlternateContent>
          <mc:Choice Requires="wps">
            <w:drawing>
              <wp:anchor distT="0" distB="0" distL="114300" distR="114300" simplePos="0" relativeHeight="251662336" behindDoc="0" locked="0" layoutInCell="1" allowOverlap="1" wp14:anchorId="041DEB26" wp14:editId="61D2FBCF">
                <wp:simplePos x="0" y="0"/>
                <wp:positionH relativeFrom="leftMargin">
                  <wp:posOffset>944088</wp:posOffset>
                </wp:positionH>
                <wp:positionV relativeFrom="paragraph">
                  <wp:posOffset>132715</wp:posOffset>
                </wp:positionV>
                <wp:extent cx="0" cy="10218717"/>
                <wp:effectExtent l="0" t="0" r="38100" b="30480"/>
                <wp:wrapNone/>
                <wp:docPr id="7" name="Conector recto 7"/>
                <wp:cNvGraphicFramePr/>
                <a:graphic xmlns:a="http://schemas.openxmlformats.org/drawingml/2006/main">
                  <a:graphicData uri="http://schemas.microsoft.com/office/word/2010/wordprocessingShape">
                    <wps:wsp>
                      <wps:cNvCnPr/>
                      <wps:spPr>
                        <a:xfrm>
                          <a:off x="0" y="0"/>
                          <a:ext cx="0" cy="1021871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C36E8C" id="Conector recto 7" o:spid="_x0000_s1026" style="position:absolute;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74.35pt,10.45pt" to="74.35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" strokecolor="black [3200]" strokeweight=".5pt">
                <v:stroke joinstyle="miter"/>
                <w10:wrap anchorx="margin"/>
              </v:line>
            </w:pict>
          </mc:Fallback>
        </mc:AlternateContent>
      </w:r>
    </w:p>
    <w:p w14:paraId="4BC5EF52" w14:textId="60CD733F" w:rsidR="00006AC9" w:rsidRDefault="00006AC9" w:rsidP="00A75EBC">
      <w:pPr>
        <w:rPr>
          <w:b/>
          <w:bCs/>
        </w:rPr>
      </w:pPr>
      <w:r w:rsidRPr="0046223A">
        <w:rPr>
          <w:b/>
          <w:bCs/>
        </w:rPr>
        <w:t xml:space="preserve">Tabla </w:t>
      </w:r>
      <w:r w:rsidR="007C7798" w:rsidRPr="0046223A">
        <w:rPr>
          <w:b/>
          <w:bCs/>
        </w:rPr>
        <w:t>2</w:t>
      </w:r>
      <w:r w:rsidRPr="0046223A">
        <w:rPr>
          <w:b/>
          <w:bCs/>
        </w:rPr>
        <w:t xml:space="preserve">: Parámetros globales para las perturbaciones de </w:t>
      </w:r>
      <w:r w:rsidR="009136A5">
        <w:rPr>
          <w:b/>
          <w:bCs/>
        </w:rPr>
        <w:t xml:space="preserve">las </w:t>
      </w:r>
      <w:r w:rsidRPr="0046223A">
        <w:rPr>
          <w:b/>
          <w:bCs/>
        </w:rPr>
        <w:t>tasa</w:t>
      </w:r>
      <w:r w:rsidR="009136A5">
        <w:rPr>
          <w:b/>
          <w:bCs/>
        </w:rPr>
        <w:t>s</w:t>
      </w:r>
      <w:r w:rsidRPr="0046223A">
        <w:rPr>
          <w:b/>
          <w:bCs/>
        </w:rPr>
        <w:t xml:space="preserve"> de interés</w:t>
      </w:r>
    </w:p>
    <w:p w14:paraId="6BA8CC97" w14:textId="12BC442D" w:rsidR="00A15468" w:rsidRPr="00FC45CA" w:rsidRDefault="00A15468" w:rsidP="00A75EBC">
      <w:pPr>
        <w:rPr>
          <w:b/>
          <w:bCs/>
          <w:sz w:val="12"/>
          <w:szCs w:val="12"/>
        </w:rPr>
      </w:pPr>
    </w:p>
    <w:tbl>
      <w:tblPr>
        <w:tblStyle w:val="Tablaconcuadrcula"/>
        <w:tblW w:w="0" w:type="auto"/>
        <w:jc w:val="center"/>
        <w:tblLook w:val="04A0" w:firstRow="1" w:lastRow="0" w:firstColumn="1" w:lastColumn="0" w:noHBand="0" w:noVBand="1"/>
      </w:tblPr>
      <w:tblGrid>
        <w:gridCol w:w="1707"/>
        <w:gridCol w:w="1707"/>
        <w:gridCol w:w="1707"/>
      </w:tblGrid>
      <w:tr w:rsidR="00006AC9" w:rsidRPr="00A93CEF" w14:paraId="504D0555" w14:textId="77777777" w:rsidTr="001B101F">
        <w:trPr>
          <w:trHeight w:val="253"/>
          <w:jc w:val="center"/>
        </w:trPr>
        <w:tc>
          <w:tcPr>
            <w:tcW w:w="1707" w:type="dxa"/>
          </w:tcPr>
          <w:p w14:paraId="037AF0F0" w14:textId="77777777" w:rsidR="00006AC9" w:rsidRPr="0046223A" w:rsidRDefault="00006AC9" w:rsidP="00A75EBC">
            <w:pPr>
              <w:rPr>
                <w:b/>
                <w:bCs/>
                <w:lang w:val="es-ES"/>
              </w:rPr>
            </w:pPr>
            <w:r w:rsidRPr="0046223A">
              <w:rPr>
                <w:b/>
                <w:bCs/>
                <w:lang w:val="es-ES"/>
              </w:rPr>
              <w:t>Paralelo</w:t>
            </w:r>
          </w:p>
        </w:tc>
        <w:tc>
          <w:tcPr>
            <w:tcW w:w="1707" w:type="dxa"/>
          </w:tcPr>
          <w:p w14:paraId="1E79D9FE" w14:textId="19975A9C" w:rsidR="00006AC9" w:rsidRPr="00A93CEF" w:rsidRDefault="00E41B2D" w:rsidP="00A75EBC">
            <w:pPr>
              <w:rPr>
                <w:lang w:val="es-ES"/>
              </w:rPr>
            </w:pPr>
            <m:oMathPara>
              <m:oMath>
                <m:sSub>
                  <m:sSubPr>
                    <m:ctrlPr>
                      <w:rPr>
                        <w:rFonts w:ascii="Cambria Math" w:hAnsi="Cambria Math"/>
                        <w:iCs/>
                        <w:lang w:val="es-ES"/>
                      </w:rPr>
                    </m:ctrlPr>
                  </m:sSubPr>
                  <m:e>
                    <m:acc>
                      <m:accPr>
                        <m:chr m:val="̃"/>
                        <m:ctrlPr>
                          <w:rPr>
                            <w:rFonts w:ascii="Cambria Math" w:hAnsi="Cambria Math"/>
                            <w:iCs/>
                            <w:lang w:val="es-ES"/>
                          </w:rPr>
                        </m:ctrlPr>
                      </m:accPr>
                      <m:e>
                        <m:r>
                          <m:rPr>
                            <m:sty m:val="p"/>
                          </m:rPr>
                          <w:rPr>
                            <w:rFonts w:ascii="Cambria Math" w:hAnsi="Cambria Math"/>
                            <w:lang w:val="es-ES"/>
                          </w:rPr>
                          <m:t>α</m:t>
                        </m:r>
                      </m:e>
                    </m:acc>
                  </m:e>
                  <m:sub>
                    <m:r>
                      <m:rPr>
                        <m:sty m:val="p"/>
                      </m:rPr>
                      <w:rPr>
                        <w:rFonts w:ascii="Cambria Math" w:hAnsi="Cambria Math"/>
                        <w:lang w:val="es-ES"/>
                      </w:rPr>
                      <m:t>paralelo</m:t>
                    </m:r>
                  </m:sub>
                </m:sSub>
              </m:oMath>
            </m:oMathPara>
          </w:p>
        </w:tc>
        <w:tc>
          <w:tcPr>
            <w:tcW w:w="1707" w:type="dxa"/>
          </w:tcPr>
          <w:p w14:paraId="43AC9E98" w14:textId="4DE62C0B" w:rsidR="00006AC9" w:rsidRPr="00A93CEF" w:rsidRDefault="0046223A" w:rsidP="00A75EBC">
            <w:pPr>
              <w:rPr>
                <w:lang w:val="es-ES"/>
              </w:rPr>
            </w:pPr>
            <m:oMathPara>
              <m:oMath>
                <m:r>
                  <m:rPr>
                    <m:sty m:val="p"/>
                  </m:rPr>
                  <w:rPr>
                    <w:rFonts w:ascii="Cambria Math" w:hAnsi="Cambria Math"/>
                    <w:lang w:val="es-ES"/>
                  </w:rPr>
                  <m:t>60%</m:t>
                </m:r>
              </m:oMath>
            </m:oMathPara>
          </w:p>
        </w:tc>
      </w:tr>
      <w:tr w:rsidR="00006AC9" w:rsidRPr="00A93CEF" w14:paraId="65FAC174" w14:textId="77777777" w:rsidTr="001B101F">
        <w:trPr>
          <w:trHeight w:val="241"/>
          <w:jc w:val="center"/>
        </w:trPr>
        <w:tc>
          <w:tcPr>
            <w:tcW w:w="1707" w:type="dxa"/>
          </w:tcPr>
          <w:p w14:paraId="35D27F19" w14:textId="77777777" w:rsidR="00006AC9" w:rsidRPr="0046223A" w:rsidRDefault="00006AC9" w:rsidP="00A75EBC">
            <w:pPr>
              <w:rPr>
                <w:b/>
                <w:bCs/>
                <w:lang w:val="es-ES"/>
              </w:rPr>
            </w:pPr>
            <w:r w:rsidRPr="0046223A">
              <w:rPr>
                <w:b/>
                <w:bCs/>
                <w:lang w:val="es-ES"/>
              </w:rPr>
              <w:t>Corto</w:t>
            </w:r>
          </w:p>
        </w:tc>
        <w:tc>
          <w:tcPr>
            <w:tcW w:w="1707" w:type="dxa"/>
          </w:tcPr>
          <w:p w14:paraId="6762A72A" w14:textId="70114841" w:rsidR="00006AC9" w:rsidRPr="00A93CEF" w:rsidRDefault="00E41B2D" w:rsidP="00A75EBC">
            <w:pPr>
              <w:rPr>
                <w:lang w:val="es-ES"/>
              </w:rPr>
            </w:pPr>
            <m:oMathPara>
              <m:oMath>
                <m:sSub>
                  <m:sSubPr>
                    <m:ctrlPr>
                      <w:rPr>
                        <w:rFonts w:ascii="Cambria Math" w:hAnsi="Cambria Math"/>
                        <w:iCs/>
                        <w:lang w:val="es-ES"/>
                      </w:rPr>
                    </m:ctrlPr>
                  </m:sSubPr>
                  <m:e>
                    <m:acc>
                      <m:accPr>
                        <m:chr m:val="̃"/>
                        <m:ctrlPr>
                          <w:rPr>
                            <w:rFonts w:ascii="Cambria Math" w:hAnsi="Cambria Math"/>
                            <w:iCs/>
                            <w:lang w:val="es-ES"/>
                          </w:rPr>
                        </m:ctrlPr>
                      </m:accPr>
                      <m:e>
                        <m:r>
                          <m:rPr>
                            <m:sty m:val="p"/>
                          </m:rPr>
                          <w:rPr>
                            <w:rFonts w:ascii="Cambria Math" w:hAnsi="Cambria Math"/>
                            <w:lang w:val="es-ES"/>
                          </w:rPr>
                          <m:t>α</m:t>
                        </m:r>
                      </m:e>
                    </m:acc>
                  </m:e>
                  <m:sub>
                    <m:r>
                      <m:rPr>
                        <m:sty m:val="p"/>
                      </m:rPr>
                      <w:rPr>
                        <w:rFonts w:ascii="Cambria Math" w:hAnsi="Cambria Math"/>
                        <w:lang w:val="es-ES"/>
                      </w:rPr>
                      <m:t>corto</m:t>
                    </m:r>
                  </m:sub>
                </m:sSub>
              </m:oMath>
            </m:oMathPara>
          </w:p>
        </w:tc>
        <w:tc>
          <w:tcPr>
            <w:tcW w:w="1707" w:type="dxa"/>
          </w:tcPr>
          <w:p w14:paraId="4EB3E23B" w14:textId="45CF875E" w:rsidR="00006AC9" w:rsidRPr="00A93CEF" w:rsidRDefault="0046223A" w:rsidP="00A75EBC">
            <w:pPr>
              <w:rPr>
                <w:lang w:val="es-ES"/>
              </w:rPr>
            </w:pPr>
            <m:oMathPara>
              <m:oMath>
                <m:r>
                  <m:rPr>
                    <m:sty m:val="p"/>
                  </m:rPr>
                  <w:rPr>
                    <w:rFonts w:ascii="Cambria Math" w:hAnsi="Cambria Math"/>
                    <w:lang w:val="es-ES"/>
                  </w:rPr>
                  <m:t>85%</m:t>
                </m:r>
              </m:oMath>
            </m:oMathPara>
          </w:p>
        </w:tc>
      </w:tr>
      <w:tr w:rsidR="00006AC9" w:rsidRPr="00A93CEF" w14:paraId="014F3783" w14:textId="77777777" w:rsidTr="001B101F">
        <w:trPr>
          <w:trHeight w:val="253"/>
          <w:jc w:val="center"/>
        </w:trPr>
        <w:tc>
          <w:tcPr>
            <w:tcW w:w="1707" w:type="dxa"/>
          </w:tcPr>
          <w:p w14:paraId="5FDC7F0B" w14:textId="77777777" w:rsidR="00006AC9" w:rsidRPr="0046223A" w:rsidRDefault="00006AC9" w:rsidP="00A75EBC">
            <w:pPr>
              <w:rPr>
                <w:b/>
                <w:bCs/>
                <w:lang w:val="es-ES"/>
              </w:rPr>
            </w:pPr>
            <w:r w:rsidRPr="0046223A">
              <w:rPr>
                <w:b/>
                <w:bCs/>
                <w:lang w:val="es-ES"/>
              </w:rPr>
              <w:t>Largo</w:t>
            </w:r>
          </w:p>
        </w:tc>
        <w:tc>
          <w:tcPr>
            <w:tcW w:w="1707" w:type="dxa"/>
          </w:tcPr>
          <w:p w14:paraId="2902A529" w14:textId="48179789" w:rsidR="00006AC9" w:rsidRPr="00A93CEF" w:rsidRDefault="00E41B2D" w:rsidP="00A75EBC">
            <w:pPr>
              <w:rPr>
                <w:lang w:val="es-ES"/>
              </w:rPr>
            </w:pPr>
            <m:oMathPara>
              <m:oMath>
                <m:sSub>
                  <m:sSubPr>
                    <m:ctrlPr>
                      <w:rPr>
                        <w:rFonts w:ascii="Cambria Math" w:hAnsi="Cambria Math"/>
                        <w:iCs/>
                        <w:lang w:val="es-ES"/>
                      </w:rPr>
                    </m:ctrlPr>
                  </m:sSubPr>
                  <m:e>
                    <m:acc>
                      <m:accPr>
                        <m:chr m:val="̃"/>
                        <m:ctrlPr>
                          <w:rPr>
                            <w:rFonts w:ascii="Cambria Math" w:hAnsi="Cambria Math"/>
                            <w:iCs/>
                            <w:lang w:val="es-ES"/>
                          </w:rPr>
                        </m:ctrlPr>
                      </m:accPr>
                      <m:e>
                        <m:r>
                          <m:rPr>
                            <m:sty m:val="p"/>
                          </m:rPr>
                          <w:rPr>
                            <w:rFonts w:ascii="Cambria Math" w:hAnsi="Cambria Math"/>
                            <w:lang w:val="es-ES"/>
                          </w:rPr>
                          <m:t>α</m:t>
                        </m:r>
                      </m:e>
                    </m:acc>
                  </m:e>
                  <m:sub>
                    <m:r>
                      <m:rPr>
                        <m:sty m:val="p"/>
                      </m:rPr>
                      <w:rPr>
                        <w:rFonts w:ascii="Cambria Math" w:hAnsi="Cambria Math"/>
                        <w:lang w:val="es-ES"/>
                      </w:rPr>
                      <m:t>largo</m:t>
                    </m:r>
                  </m:sub>
                </m:sSub>
              </m:oMath>
            </m:oMathPara>
          </w:p>
        </w:tc>
        <w:tc>
          <w:tcPr>
            <w:tcW w:w="1707" w:type="dxa"/>
          </w:tcPr>
          <w:p w14:paraId="6586D967" w14:textId="1B937CDA" w:rsidR="00006AC9" w:rsidRPr="00A93CEF" w:rsidRDefault="0046223A" w:rsidP="00A75EBC">
            <w:pPr>
              <w:rPr>
                <w:lang w:val="es-ES"/>
              </w:rPr>
            </w:pPr>
            <m:oMathPara>
              <m:oMath>
                <m:r>
                  <m:rPr>
                    <m:sty m:val="p"/>
                  </m:rPr>
                  <w:rPr>
                    <w:rFonts w:ascii="Cambria Math" w:hAnsi="Cambria Math"/>
                    <w:lang w:val="es-ES"/>
                  </w:rPr>
                  <m:t>40%</m:t>
                </m:r>
              </m:oMath>
            </m:oMathPara>
          </w:p>
        </w:tc>
      </w:tr>
    </w:tbl>
    <w:p w14:paraId="57115011" w14:textId="5AAE2469" w:rsidR="00006AC9" w:rsidRDefault="00006AC9" w:rsidP="007C7798">
      <w:pPr>
        <w:pStyle w:val="Sinespaciado"/>
      </w:pPr>
    </w:p>
    <w:p w14:paraId="5CAA43AE" w14:textId="13B4A21E" w:rsidR="00BC3507" w:rsidRDefault="00006AC9" w:rsidP="00A75EBC">
      <w:r w:rsidRPr="00A93CEF">
        <w:t xml:space="preserve">Este procedimiento resulta en </w:t>
      </w:r>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j</m:t>
            </m:r>
            <m:r>
              <m:rPr>
                <m:sty m:val="p"/>
              </m:rPr>
              <w:rPr>
                <w:rFonts w:ascii="Cambria Math" w:hAnsi="Cambria Math"/>
              </w:rPr>
              <m:t>,</m:t>
            </m:r>
            <m:r>
              <w:rPr>
                <w:rFonts w:ascii="Cambria Math" w:hAnsi="Cambria Math"/>
              </w:rPr>
              <m:t>c</m:t>
            </m:r>
          </m:sub>
        </m:sSub>
      </m:oMath>
      <w:r w:rsidRPr="00A93CEF">
        <w:rPr>
          <w:rFonts w:eastAsiaTheme="minorEastAsia"/>
        </w:rPr>
        <w:t>, es decir,</w:t>
      </w:r>
      <w:r w:rsidRPr="00A93CEF">
        <w:t xml:space="preserve"> perturbaciones revisadas por moneda y para cada uno de los </w:t>
      </w:r>
      <w:r w:rsidR="00626323">
        <w:t>tramos</w:t>
      </w:r>
      <w:r w:rsidRPr="00A93CEF">
        <w:t xml:space="preserve"> de la curva de rendimientos (paralelo (So), corto(S1), largo(S2)).</w:t>
      </w:r>
    </w:p>
    <w:p w14:paraId="784F0265" w14:textId="77777777" w:rsidR="00BC3507" w:rsidRDefault="00BC3507" w:rsidP="00A75EBC">
      <w:pPr>
        <w:rPr>
          <w:u w:val="single"/>
        </w:rPr>
      </w:pPr>
    </w:p>
    <w:p w14:paraId="0C3802B0" w14:textId="61D50ED7" w:rsidR="00006AC9" w:rsidRPr="0046223A" w:rsidRDefault="00006AC9" w:rsidP="00A75EBC">
      <w:pPr>
        <w:rPr>
          <w:u w:val="single"/>
        </w:rPr>
      </w:pPr>
      <w:r w:rsidRPr="0046223A">
        <w:rPr>
          <w:u w:val="single"/>
        </w:rPr>
        <w:t>Paso 3: Aplicar los límites inferiores y superiores</w:t>
      </w:r>
    </w:p>
    <w:p w14:paraId="5A6D5232" w14:textId="77777777" w:rsidR="0046223A" w:rsidRDefault="0046223A" w:rsidP="00A75EBC"/>
    <w:p w14:paraId="5BCBE025" w14:textId="4D713966" w:rsidR="00006AC9" w:rsidRDefault="00A1501F" w:rsidP="00A75EBC">
      <w:r>
        <w:t>L</w:t>
      </w:r>
      <w:r w:rsidR="00A15468" w:rsidRPr="00A1501F">
        <w:t>a entidad debe</w:t>
      </w:r>
      <w:r w:rsidR="002E2E03" w:rsidRPr="00A1501F">
        <w:t xml:space="preserve"> </w:t>
      </w:r>
      <w:r w:rsidR="00A15468" w:rsidRPr="00A1501F">
        <w:t>aplicar los siguientes límites</w:t>
      </w:r>
      <w:r w:rsidR="00C52543" w:rsidRPr="00A1501F">
        <w:t xml:space="preserve"> para </w:t>
      </w:r>
      <m:oMath>
        <m: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R</m:t>
                </m:r>
              </m:e>
            </m:acc>
          </m:e>
          <m:sub>
            <m:r>
              <w:rPr>
                <w:rFonts w:ascii="Cambria Math" w:hAnsi="Cambria Math"/>
              </w:rPr>
              <m:t>j</m:t>
            </m:r>
          </m:sub>
        </m:sSub>
      </m:oMath>
      <w:r w:rsidR="00006AC9" w:rsidRPr="00A1501F">
        <w:t xml:space="preserve">: (i) con un piso de 100pb para todos los escenarios (paralelo, corto y largo); (ii) un techo de 500pb para el choque corto, de 400pb para el choque paralelo y de 300pb para el </w:t>
      </w:r>
      <w:r w:rsidR="00FC4A95">
        <w:t xml:space="preserve">choque </w:t>
      </w:r>
      <w:r w:rsidR="00006AC9" w:rsidRPr="00A1501F">
        <w:t>largo.</w:t>
      </w:r>
    </w:p>
    <w:p w14:paraId="728E32C6" w14:textId="281BDF47" w:rsidR="00A15468" w:rsidRDefault="00A15468" w:rsidP="00A75EBC"/>
    <w:p w14:paraId="3762CCD9" w14:textId="456712EC" w:rsidR="00006AC9" w:rsidRDefault="00A15468" w:rsidP="00A75EBC">
      <w:r>
        <w:t>L</w:t>
      </w:r>
      <w:r w:rsidR="00006AC9" w:rsidRPr="00A93CEF">
        <w:t xml:space="preserve">a perturbación en las tasas de cada moneda </w:t>
      </w:r>
      <m:oMath>
        <m:r>
          <w:rPr>
            <w:rFonts w:ascii="Cambria Math" w:hAnsi="Cambria Math"/>
          </w:rPr>
          <m:t>c</m:t>
        </m:r>
      </m:oMath>
      <w:r w:rsidR="00006AC9" w:rsidRPr="00A93CEF">
        <w:t xml:space="preserve"> y para cada escenario </w:t>
      </w:r>
      <m:oMath>
        <m:r>
          <w:rPr>
            <w:rFonts w:ascii="Cambria Math" w:hAnsi="Cambria Math"/>
          </w:rPr>
          <m:t>j</m:t>
        </m:r>
      </m:oMath>
      <w:r w:rsidR="00006AC9" w:rsidRPr="00A93CEF">
        <w:t xml:space="preserve"> de la curva de rendimientos y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r>
          <w:rPr>
            <w:rFonts w:ascii="Cambria Math" w:hAnsi="Cambria Math"/>
          </w:rPr>
          <m:t xml:space="preserve">, </m:t>
        </m:r>
      </m:oMath>
      <w:r w:rsidR="00006AC9" w:rsidRPr="00A93CEF">
        <w:t>se define de la siguiente manera:</w:t>
      </w:r>
    </w:p>
    <w:p w14:paraId="1E4DC014" w14:textId="77777777" w:rsidR="005F65EA" w:rsidRPr="00A93CEF" w:rsidRDefault="005F65EA" w:rsidP="00A75EBC"/>
    <w:p w14:paraId="64597FC4" w14:textId="77777777" w:rsidR="00006AC9" w:rsidRPr="00A93CEF" w:rsidRDefault="00E41B2D" w:rsidP="00A75EBC">
      <m:oMathPara>
        <m:oMath>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R</m:t>
                      </m:r>
                    </m:e>
                  </m:acc>
                </m:e>
                <m:sub>
                  <m:r>
                    <w:rPr>
                      <w:rFonts w:ascii="Cambria Math" w:hAnsi="Cambria Math"/>
                    </w:rPr>
                    <m:t>j</m:t>
                  </m:r>
                  <m:r>
                    <m:rPr>
                      <m:sty m:val="p"/>
                    </m:rPr>
                    <w:rPr>
                      <w:rFonts w:ascii="Cambria Math" w:hAnsi="Cambria Math"/>
                    </w:rPr>
                    <m:t>,</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eastAsiaTheme="minorEastAsia" w:hAnsi="Cambria Math"/>
                </w:rPr>
                <m:t>)</m:t>
              </m:r>
            </m:e>
          </m:d>
          <m:r>
            <m:rPr>
              <m:sty m:val="p"/>
            </m:rPr>
            <w:rPr>
              <w:rFonts w:ascii="Cambria Math" w:hAnsi="Cambria Math"/>
            </w:rPr>
            <m:t>=</m:t>
          </m:r>
          <m:r>
            <w:rPr>
              <w:rFonts w:ascii="Cambria Math" w:hAnsi="Cambria Math"/>
            </w:rPr>
            <m:t>max</m:t>
          </m:r>
          <m:d>
            <m:dPr>
              <m:begChr m:val="{"/>
              <m:endChr m:val="}"/>
              <m:ctrlPr>
                <w:rPr>
                  <w:rFonts w:ascii="Cambria Math" w:hAnsi="Cambria Math"/>
                </w:rPr>
              </m:ctrlPr>
            </m:dPr>
            <m:e>
              <m:r>
                <m:rPr>
                  <m:sty m:val="p"/>
                </m:rPr>
                <w:rPr>
                  <w:rFonts w:ascii="Cambria Math" w:hAnsi="Cambria Math"/>
                </w:rPr>
                <m:t>100,</m:t>
              </m:r>
              <m:r>
                <w:rPr>
                  <w:rFonts w:ascii="Cambria Math" w:hAnsi="Cambria Math"/>
                </w:rPr>
                <m:t>min</m:t>
              </m:r>
              <m:d>
                <m:dPr>
                  <m:begChr m:val="{"/>
                  <m:endChr m:val="}"/>
                  <m:ctrlPr>
                    <w:rPr>
                      <w:rFonts w:ascii="Cambria Math" w:hAnsi="Cambria Math"/>
                    </w:rPr>
                  </m:ctrlPr>
                </m:dPr>
                <m:e>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j</m:t>
                          </m:r>
                          <m:r>
                            <m:rPr>
                              <m:sty m:val="p"/>
                            </m:rPr>
                            <w:rPr>
                              <w:rFonts w:ascii="Cambria Math" w:hAnsi="Cambria Math"/>
                            </w:rPr>
                            <m:t>,</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eastAsiaTheme="minorEastAsia" w:hAnsi="Cambria Math"/>
                        </w:rPr>
                        <m:t>)</m:t>
                      </m:r>
                    </m:e>
                  </m:d>
                  <m:r>
                    <m:rPr>
                      <m:sty m:val="p"/>
                    </m:rP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R</m:t>
                          </m:r>
                        </m:e>
                      </m:acc>
                    </m:e>
                    <m:sub>
                      <m:r>
                        <w:rPr>
                          <w:rFonts w:ascii="Cambria Math" w:hAnsi="Cambria Math"/>
                        </w:rPr>
                        <m:t>j</m:t>
                      </m:r>
                    </m:sub>
                  </m:sSub>
                </m:e>
              </m:d>
            </m:e>
          </m:d>
        </m:oMath>
      </m:oMathPara>
    </w:p>
    <w:p w14:paraId="47756BFB" w14:textId="77777777" w:rsidR="0046223A" w:rsidRDefault="0046223A" w:rsidP="00A75EBC"/>
    <w:p w14:paraId="04432828" w14:textId="557743B2" w:rsidR="005230AD" w:rsidRDefault="00C52543" w:rsidP="00A75EBC">
      <w:r>
        <w:t>L</w:t>
      </w:r>
      <w:r w:rsidR="00006AC9" w:rsidRPr="00A93CEF">
        <w:t>uego de aplicar los límites inferiores y superiores, el resultado se aproxima a los 50pb más cercanos.</w:t>
      </w:r>
    </w:p>
    <w:p w14:paraId="72FE7DCD" w14:textId="6C7F5364" w:rsidR="00F2757D" w:rsidRDefault="00F2757D" w:rsidP="00A75EBC"/>
    <w:p w14:paraId="46321FB6" w14:textId="38DE55D4" w:rsidR="0037686E" w:rsidRPr="0046223A" w:rsidRDefault="00EA5F26" w:rsidP="00A75EBC">
      <w:pPr>
        <w:rPr>
          <w:b/>
          <w:bCs/>
        </w:rPr>
      </w:pPr>
      <w:r w:rsidRPr="0046223A">
        <w:rPr>
          <w:b/>
          <w:bCs/>
        </w:rPr>
        <w:t>1</w:t>
      </w:r>
      <w:r w:rsidRPr="00554AAE">
        <w:rPr>
          <w:b/>
          <w:bCs/>
        </w:rPr>
        <w:t>.3.2 Choques de tasa de interés</w:t>
      </w:r>
    </w:p>
    <w:p w14:paraId="301F8670" w14:textId="49FA57E7" w:rsidR="0037686E" w:rsidRDefault="0037686E" w:rsidP="00A75EBC"/>
    <w:p w14:paraId="32A56592" w14:textId="3C628C2E" w:rsidR="00C63FD3" w:rsidRPr="00A93CEF" w:rsidRDefault="005237EE" w:rsidP="00A75EBC">
      <w:r>
        <w:t>L</w:t>
      </w:r>
      <w:r w:rsidRPr="00A93CEF">
        <w:t xml:space="preserve">a entidad debe aplicar </w:t>
      </w:r>
      <w:r>
        <w:t>p</w:t>
      </w:r>
      <w:r w:rsidR="0020192F" w:rsidRPr="00A93CEF">
        <w:t>ara cada moneda</w:t>
      </w:r>
      <w:r w:rsidR="00C63FD3" w:rsidRPr="00A93CEF">
        <w:t xml:space="preserve"> los choques a la tasa libre de riesgo </w:t>
      </w:r>
      <w:r w:rsidR="007927D7" w:rsidRPr="00A93CEF">
        <w:t xml:space="preserve">con </w:t>
      </w:r>
      <w:r w:rsidR="00F54400">
        <w:t xml:space="preserve">un </w:t>
      </w:r>
      <w:r w:rsidR="007927D7" w:rsidRPr="00A93CEF">
        <w:t>enfoque</w:t>
      </w:r>
      <w:r w:rsidR="00C63FD3" w:rsidRPr="00A93CEF">
        <w:t xml:space="preserve"> paralelo</w:t>
      </w:r>
      <w:r w:rsidR="001C457C" w:rsidRPr="00A93CEF">
        <w:t xml:space="preserve"> de</w:t>
      </w:r>
      <w:r w:rsidR="00C63FD3" w:rsidRPr="00A93CEF">
        <w:t xml:space="preserve"> corto y largo</w:t>
      </w:r>
      <w:r w:rsidR="007927D7" w:rsidRPr="00A93CEF">
        <w:t xml:space="preserve"> plazo</w:t>
      </w:r>
      <w:r w:rsidR="0073576D">
        <w:t xml:space="preserve"> </w:t>
      </w:r>
      <w:r w:rsidR="0044037D">
        <w:t>asignando</w:t>
      </w:r>
      <w:r w:rsidR="002F3480">
        <w:t xml:space="preserve"> los flujos </w:t>
      </w:r>
      <w:r w:rsidR="002914DC">
        <w:t>a</w:t>
      </w:r>
      <w:r w:rsidR="00A225B9">
        <w:t xml:space="preserve"> cada banda de tiempo </w:t>
      </w:r>
      <w:r w:rsidR="00C217F8">
        <w:t>y considerando</w:t>
      </w:r>
      <w:r w:rsidR="008452E2">
        <w:t xml:space="preserve"> para el cálculo el valor d</w:t>
      </w:r>
      <w:r w:rsidR="00E73082">
        <w:t>el punto medio de</w:t>
      </w:r>
      <w:r w:rsidR="00886FD6">
        <w:t xml:space="preserve"> </w:t>
      </w:r>
      <w:r w:rsidR="006F2CA7">
        <w:t>cada banda de tiempo</w:t>
      </w:r>
      <w:r w:rsidR="008B5B9B">
        <w:t xml:space="preserve"> correspondiente</w:t>
      </w:r>
      <w:r w:rsidR="00EE3B34">
        <w:t xml:space="preserve"> </w:t>
      </w:r>
      <w:r w:rsidR="00AB0AF4">
        <w:t xml:space="preserve">(ver tabla 4 del </w:t>
      </w:r>
      <w:proofErr w:type="spellStart"/>
      <w:r w:rsidR="00AB0AF4">
        <w:t>subnumeral</w:t>
      </w:r>
      <w:proofErr w:type="spellEnd"/>
      <w:r w:rsidR="00AB0AF4">
        <w:t xml:space="preserve"> 2.2</w:t>
      </w:r>
      <w:r w:rsidR="00EE3B34">
        <w:t>)</w:t>
      </w:r>
      <w:r w:rsidR="00C63FD3" w:rsidRPr="00A93CEF">
        <w:t xml:space="preserve">, </w:t>
      </w:r>
      <w:r w:rsidR="007927D7" w:rsidRPr="00A93CEF">
        <w:t xml:space="preserve">los siguientes </w:t>
      </w:r>
      <w:r w:rsidR="00C964C5">
        <w:t xml:space="preserve">son los </w:t>
      </w:r>
      <w:r w:rsidR="007927D7" w:rsidRPr="00A93CEF">
        <w:t xml:space="preserve">parámetros </w:t>
      </w:r>
      <w:r w:rsidR="00E4135E" w:rsidRPr="00A93CEF">
        <w:t xml:space="preserve">para cada uno de </w:t>
      </w:r>
      <w:r w:rsidR="00C63FD3" w:rsidRPr="00A93CEF">
        <w:t xml:space="preserve">escenarios </w:t>
      </w:r>
      <w:r w:rsidR="005104B7">
        <w:t>correspondientes de</w:t>
      </w:r>
      <w:r w:rsidR="00357E97" w:rsidRPr="00A93CEF">
        <w:t xml:space="preserve"> la curva</w:t>
      </w:r>
      <w:r w:rsidR="00C63FD3" w:rsidRPr="00A93CEF">
        <w:t xml:space="preserve"> de tasa de interés</w:t>
      </w:r>
      <w:r w:rsidR="00BE6F35">
        <w:t>.</w:t>
      </w:r>
    </w:p>
    <w:p w14:paraId="72113923" w14:textId="6FDE3560" w:rsidR="00E641B7" w:rsidRDefault="00E641B7" w:rsidP="00A75EBC"/>
    <w:p w14:paraId="3AB2904C" w14:textId="4F1B2793" w:rsidR="00E641B7" w:rsidRPr="0046223A" w:rsidRDefault="00257B88" w:rsidP="00A75EBC">
      <w:pPr>
        <w:rPr>
          <w:b/>
          <w:bCs/>
        </w:rPr>
      </w:pPr>
      <w:r w:rsidRPr="0046223A">
        <w:rPr>
          <w:b/>
          <w:bCs/>
        </w:rPr>
        <w:t xml:space="preserve">Tabla </w:t>
      </w:r>
      <w:r w:rsidR="007C7798" w:rsidRPr="0046223A">
        <w:rPr>
          <w:b/>
          <w:bCs/>
        </w:rPr>
        <w:t>3</w:t>
      </w:r>
      <w:r w:rsidR="00E641B7" w:rsidRPr="0046223A">
        <w:rPr>
          <w:b/>
          <w:bCs/>
        </w:rPr>
        <w:t>: Choques a la curva</w:t>
      </w:r>
    </w:p>
    <w:p w14:paraId="1FE3E8DB" w14:textId="4016E096" w:rsidR="00047ABB" w:rsidRDefault="00047ABB" w:rsidP="00A75EBC"/>
    <w:tbl>
      <w:tblPr>
        <w:tblW w:w="7103" w:type="dxa"/>
        <w:jc w:val="center"/>
        <w:tblCellMar>
          <w:left w:w="70" w:type="dxa"/>
          <w:right w:w="70" w:type="dxa"/>
        </w:tblCellMar>
        <w:tblLook w:val="04A0" w:firstRow="1" w:lastRow="0" w:firstColumn="1" w:lastColumn="0" w:noHBand="0" w:noVBand="1"/>
      </w:tblPr>
      <w:tblGrid>
        <w:gridCol w:w="837"/>
        <w:gridCol w:w="1200"/>
        <w:gridCol w:w="2540"/>
        <w:gridCol w:w="2526"/>
      </w:tblGrid>
      <w:tr w:rsidR="00047ABB" w:rsidRPr="00047ABB" w14:paraId="2455CF49" w14:textId="77777777" w:rsidTr="00047ABB">
        <w:trPr>
          <w:trHeight w:val="251"/>
          <w:jc w:val="center"/>
        </w:trPr>
        <w:tc>
          <w:tcPr>
            <w:tcW w:w="837" w:type="dxa"/>
            <w:tcBorders>
              <w:top w:val="single" w:sz="8" w:space="0" w:color="auto"/>
              <w:left w:val="single" w:sz="8" w:space="0" w:color="auto"/>
              <w:bottom w:val="nil"/>
              <w:right w:val="single" w:sz="4" w:space="0" w:color="auto"/>
            </w:tcBorders>
            <w:shd w:val="clear" w:color="000000" w:fill="FFFFFF"/>
            <w:noWrap/>
            <w:vAlign w:val="center"/>
            <w:hideMark/>
          </w:tcPr>
          <w:p w14:paraId="62C309A0" w14:textId="0040E0BC" w:rsidR="00047ABB" w:rsidRPr="00047ABB" w:rsidRDefault="00047ABB" w:rsidP="00A75EBC">
            <w:pPr>
              <w:rPr>
                <w:lang w:eastAsia="es-CO"/>
              </w:rPr>
            </w:pPr>
          </w:p>
        </w:tc>
        <w:tc>
          <w:tcPr>
            <w:tcW w:w="1200" w:type="dxa"/>
            <w:tcBorders>
              <w:top w:val="single" w:sz="8" w:space="0" w:color="auto"/>
              <w:left w:val="nil"/>
              <w:bottom w:val="nil"/>
              <w:right w:val="nil"/>
            </w:tcBorders>
            <w:shd w:val="clear" w:color="000000" w:fill="FFFFFF"/>
            <w:noWrap/>
            <w:vAlign w:val="center"/>
            <w:hideMark/>
          </w:tcPr>
          <w:p w14:paraId="6F553030" w14:textId="77777777" w:rsidR="00047ABB" w:rsidRPr="0046223A" w:rsidRDefault="00047ABB" w:rsidP="00E32B9B">
            <w:pPr>
              <w:jc w:val="center"/>
              <w:rPr>
                <w:b/>
                <w:bCs/>
                <w:lang w:eastAsia="es-CO"/>
              </w:rPr>
            </w:pPr>
            <w:r w:rsidRPr="0046223A">
              <w:rPr>
                <w:b/>
                <w:bCs/>
                <w:lang w:eastAsia="es-CO"/>
              </w:rPr>
              <w:t>Choque paralelo</w:t>
            </w:r>
          </w:p>
        </w:tc>
        <w:tc>
          <w:tcPr>
            <w:tcW w:w="2540" w:type="dxa"/>
            <w:tcBorders>
              <w:top w:val="single" w:sz="8" w:space="0" w:color="auto"/>
              <w:left w:val="single" w:sz="4" w:space="0" w:color="auto"/>
              <w:bottom w:val="nil"/>
              <w:right w:val="single" w:sz="4" w:space="0" w:color="auto"/>
            </w:tcBorders>
            <w:shd w:val="clear" w:color="000000" w:fill="FFFFFF"/>
            <w:noWrap/>
            <w:vAlign w:val="center"/>
            <w:hideMark/>
          </w:tcPr>
          <w:p w14:paraId="3226A550" w14:textId="77777777" w:rsidR="00047ABB" w:rsidRPr="0046223A" w:rsidRDefault="00047ABB" w:rsidP="00E32B9B">
            <w:pPr>
              <w:jc w:val="center"/>
              <w:rPr>
                <w:b/>
                <w:bCs/>
                <w:lang w:eastAsia="es-CO"/>
              </w:rPr>
            </w:pPr>
            <w:r w:rsidRPr="0046223A">
              <w:rPr>
                <w:b/>
                <w:bCs/>
                <w:lang w:eastAsia="es-CO"/>
              </w:rPr>
              <w:t>Choque a los plazos cortos de la curva</w:t>
            </w:r>
          </w:p>
        </w:tc>
        <w:tc>
          <w:tcPr>
            <w:tcW w:w="2526" w:type="dxa"/>
            <w:tcBorders>
              <w:top w:val="single" w:sz="8" w:space="0" w:color="auto"/>
              <w:left w:val="nil"/>
              <w:bottom w:val="nil"/>
              <w:right w:val="single" w:sz="8" w:space="0" w:color="auto"/>
            </w:tcBorders>
            <w:shd w:val="clear" w:color="000000" w:fill="FFFFFF"/>
            <w:noWrap/>
            <w:vAlign w:val="center"/>
            <w:hideMark/>
          </w:tcPr>
          <w:p w14:paraId="0FA0BBEB" w14:textId="77777777" w:rsidR="00047ABB" w:rsidRPr="0046223A" w:rsidRDefault="00047ABB" w:rsidP="00E32B9B">
            <w:pPr>
              <w:jc w:val="center"/>
              <w:rPr>
                <w:b/>
                <w:bCs/>
                <w:lang w:eastAsia="es-CO"/>
              </w:rPr>
            </w:pPr>
            <w:r w:rsidRPr="0046223A">
              <w:rPr>
                <w:b/>
                <w:bCs/>
                <w:lang w:eastAsia="es-CO"/>
              </w:rPr>
              <w:t>Choque a los plazos largos de la curva</w:t>
            </w:r>
          </w:p>
        </w:tc>
      </w:tr>
      <w:tr w:rsidR="00047ABB" w:rsidRPr="00047ABB" w14:paraId="56FD2517" w14:textId="77777777" w:rsidTr="00047ABB">
        <w:trPr>
          <w:trHeight w:val="251"/>
          <w:jc w:val="center"/>
        </w:trPr>
        <w:tc>
          <w:tcPr>
            <w:tcW w:w="837" w:type="dxa"/>
            <w:tcBorders>
              <w:top w:val="nil"/>
              <w:left w:val="single" w:sz="8" w:space="0" w:color="auto"/>
              <w:bottom w:val="single" w:sz="4" w:space="0" w:color="auto"/>
              <w:right w:val="single" w:sz="4" w:space="0" w:color="auto"/>
            </w:tcBorders>
            <w:shd w:val="clear" w:color="000000" w:fill="FFFFFF"/>
            <w:noWrap/>
            <w:vAlign w:val="center"/>
            <w:hideMark/>
          </w:tcPr>
          <w:p w14:paraId="0AFDDDBE" w14:textId="53FA43AB" w:rsidR="00047ABB" w:rsidRPr="00047ABB" w:rsidRDefault="00047ABB" w:rsidP="00A75EBC">
            <w:pPr>
              <w:rPr>
                <w:lang w:eastAsia="es-CO"/>
              </w:rPr>
            </w:pPr>
          </w:p>
        </w:tc>
        <w:tc>
          <w:tcPr>
            <w:tcW w:w="1200" w:type="dxa"/>
            <w:tcBorders>
              <w:top w:val="nil"/>
              <w:left w:val="nil"/>
              <w:bottom w:val="single" w:sz="4" w:space="0" w:color="auto"/>
              <w:right w:val="nil"/>
            </w:tcBorders>
            <w:shd w:val="clear" w:color="000000" w:fill="FFFFFF"/>
            <w:noWrap/>
            <w:vAlign w:val="center"/>
            <w:hideMark/>
          </w:tcPr>
          <w:p w14:paraId="48307AAB" w14:textId="77777777" w:rsidR="00047ABB" w:rsidRPr="0046223A" w:rsidRDefault="00047ABB" w:rsidP="00E32B9B">
            <w:pPr>
              <w:jc w:val="center"/>
              <w:rPr>
                <w:b/>
                <w:bCs/>
                <w:lang w:eastAsia="es-CO"/>
              </w:rPr>
            </w:pPr>
            <w:r w:rsidRPr="0046223A">
              <w:rPr>
                <w:b/>
                <w:bCs/>
                <w:lang w:eastAsia="es-CO"/>
              </w:rPr>
              <w:t>∆R (paralelo)</w:t>
            </w:r>
          </w:p>
        </w:tc>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06DED841" w14:textId="77777777" w:rsidR="00047ABB" w:rsidRPr="0046223A" w:rsidRDefault="00047ABB" w:rsidP="00E32B9B">
            <w:pPr>
              <w:jc w:val="center"/>
              <w:rPr>
                <w:b/>
                <w:bCs/>
                <w:lang w:eastAsia="es-CO"/>
              </w:rPr>
            </w:pPr>
            <w:r w:rsidRPr="0046223A">
              <w:rPr>
                <w:b/>
                <w:bCs/>
                <w:lang w:eastAsia="es-CO"/>
              </w:rPr>
              <w:t>∆R (corto)</w:t>
            </w:r>
          </w:p>
        </w:tc>
        <w:tc>
          <w:tcPr>
            <w:tcW w:w="2526" w:type="dxa"/>
            <w:tcBorders>
              <w:top w:val="nil"/>
              <w:left w:val="nil"/>
              <w:bottom w:val="single" w:sz="4" w:space="0" w:color="auto"/>
              <w:right w:val="single" w:sz="8" w:space="0" w:color="auto"/>
            </w:tcBorders>
            <w:shd w:val="clear" w:color="000000" w:fill="FFFFFF"/>
            <w:noWrap/>
            <w:vAlign w:val="center"/>
            <w:hideMark/>
          </w:tcPr>
          <w:p w14:paraId="2E1AD8D5" w14:textId="77777777" w:rsidR="00047ABB" w:rsidRPr="0046223A" w:rsidRDefault="00047ABB" w:rsidP="00E32B9B">
            <w:pPr>
              <w:jc w:val="center"/>
              <w:rPr>
                <w:b/>
                <w:bCs/>
                <w:lang w:eastAsia="es-CO"/>
              </w:rPr>
            </w:pPr>
            <w:r w:rsidRPr="0046223A">
              <w:rPr>
                <w:b/>
                <w:bCs/>
                <w:lang w:eastAsia="es-CO"/>
              </w:rPr>
              <w:t>∆R (largo)</w:t>
            </w:r>
          </w:p>
        </w:tc>
      </w:tr>
      <w:tr w:rsidR="00047ABB" w:rsidRPr="00047ABB" w14:paraId="223299FA" w14:textId="77777777" w:rsidTr="00047ABB">
        <w:trPr>
          <w:trHeight w:val="251"/>
          <w:jc w:val="center"/>
        </w:trPr>
        <w:tc>
          <w:tcPr>
            <w:tcW w:w="837" w:type="dxa"/>
            <w:tcBorders>
              <w:top w:val="nil"/>
              <w:left w:val="single" w:sz="8" w:space="0" w:color="auto"/>
              <w:bottom w:val="nil"/>
              <w:right w:val="single" w:sz="4" w:space="0" w:color="auto"/>
            </w:tcBorders>
            <w:shd w:val="clear" w:color="000000" w:fill="FFFFFF"/>
            <w:noWrap/>
            <w:vAlign w:val="center"/>
            <w:hideMark/>
          </w:tcPr>
          <w:p w14:paraId="4884C8A9" w14:textId="77777777" w:rsidR="00047ABB" w:rsidRPr="0046223A" w:rsidRDefault="00047ABB" w:rsidP="00A75EBC">
            <w:pPr>
              <w:rPr>
                <w:b/>
                <w:bCs/>
                <w:lang w:eastAsia="es-CO"/>
              </w:rPr>
            </w:pPr>
            <w:r w:rsidRPr="0046223A">
              <w:rPr>
                <w:b/>
                <w:bCs/>
                <w:lang w:eastAsia="es-CO"/>
              </w:rPr>
              <w:t>Arriba</w:t>
            </w:r>
          </w:p>
        </w:tc>
        <w:tc>
          <w:tcPr>
            <w:tcW w:w="1200" w:type="dxa"/>
            <w:tcBorders>
              <w:top w:val="nil"/>
              <w:left w:val="nil"/>
              <w:bottom w:val="nil"/>
              <w:right w:val="nil"/>
            </w:tcBorders>
            <w:shd w:val="clear" w:color="000000" w:fill="FFFFFF"/>
            <w:noWrap/>
            <w:vAlign w:val="center"/>
            <w:hideMark/>
          </w:tcPr>
          <w:p w14:paraId="2912C50D" w14:textId="5C5F5A01" w:rsidR="00047ABB" w:rsidRPr="00047ABB" w:rsidRDefault="0046223A" w:rsidP="00A75EBC">
            <w:pPr>
              <w:rPr>
                <w:lang w:eastAsia="es-CO"/>
              </w:rPr>
            </w:pPr>
            <m:oMathPara>
              <m:oMath>
                <m:r>
                  <m:rPr>
                    <m:sty m:val="p"/>
                  </m:rPr>
                  <w:rPr>
                    <w:rFonts w:ascii="Cambria Math" w:hAnsi="Cambria Math"/>
                    <w:lang w:eastAsia="es-CO"/>
                  </w:rPr>
                  <m:t>+</m:t>
                </m:r>
                <m:r>
                  <w:rPr>
                    <w:rFonts w:ascii="Cambria Math" w:hAnsi="Cambria Math"/>
                    <w:lang w:eastAsia="es-CO"/>
                  </w:rPr>
                  <m:t>S</m:t>
                </m:r>
                <m:r>
                  <m:rPr>
                    <m:sty m:val="p"/>
                  </m:rPr>
                  <w:rPr>
                    <w:rFonts w:ascii="Cambria Math" w:hAnsi="Cambria Math"/>
                    <w:lang w:eastAsia="es-CO"/>
                  </w:rPr>
                  <m:t>0</m:t>
                </m:r>
              </m:oMath>
            </m:oMathPara>
          </w:p>
        </w:tc>
        <w:tc>
          <w:tcPr>
            <w:tcW w:w="2540" w:type="dxa"/>
            <w:tcBorders>
              <w:top w:val="nil"/>
              <w:left w:val="single" w:sz="4" w:space="0" w:color="auto"/>
              <w:bottom w:val="nil"/>
              <w:right w:val="single" w:sz="4" w:space="0" w:color="auto"/>
            </w:tcBorders>
            <w:shd w:val="clear" w:color="000000" w:fill="FFFFFF"/>
            <w:noWrap/>
            <w:vAlign w:val="center"/>
            <w:hideMark/>
          </w:tcPr>
          <w:p w14:paraId="501E4C67" w14:textId="525BECA7" w:rsidR="00047ABB" w:rsidRPr="00047ABB" w:rsidRDefault="0046223A"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 xml:space="preserve">1 * </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oMath>
            </m:oMathPara>
          </w:p>
        </w:tc>
        <w:tc>
          <w:tcPr>
            <w:tcW w:w="2526" w:type="dxa"/>
            <w:tcBorders>
              <w:top w:val="nil"/>
              <w:left w:val="nil"/>
              <w:bottom w:val="nil"/>
              <w:right w:val="single" w:sz="8" w:space="0" w:color="auto"/>
            </w:tcBorders>
            <w:shd w:val="clear" w:color="000000" w:fill="FFFFFF"/>
            <w:noWrap/>
            <w:vAlign w:val="center"/>
            <w:hideMark/>
          </w:tcPr>
          <w:p w14:paraId="3565EC9A" w14:textId="1A9D371E" w:rsidR="00047ABB" w:rsidRPr="00047ABB" w:rsidRDefault="0046223A"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2 * (1-</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r>
                  <m:rPr>
                    <m:sty m:val="p"/>
                  </m:rPr>
                  <w:rPr>
                    <w:rFonts w:ascii="Cambria Math" w:eastAsia="Times New Roman" w:hAnsi="Cambria Math"/>
                    <w:color w:val="000000"/>
                    <w:sz w:val="16"/>
                    <w:szCs w:val="16"/>
                    <w:lang w:eastAsia="es-CO"/>
                  </w:rPr>
                  <m:t>)</m:t>
                </m:r>
              </m:oMath>
            </m:oMathPara>
          </w:p>
        </w:tc>
      </w:tr>
      <w:tr w:rsidR="00047ABB" w:rsidRPr="00047ABB" w14:paraId="7E479AD3" w14:textId="77777777" w:rsidTr="00047ABB">
        <w:trPr>
          <w:trHeight w:val="263"/>
          <w:jc w:val="center"/>
        </w:trPr>
        <w:tc>
          <w:tcPr>
            <w:tcW w:w="837" w:type="dxa"/>
            <w:tcBorders>
              <w:top w:val="nil"/>
              <w:left w:val="single" w:sz="8" w:space="0" w:color="auto"/>
              <w:bottom w:val="single" w:sz="8" w:space="0" w:color="auto"/>
              <w:right w:val="single" w:sz="4" w:space="0" w:color="auto"/>
            </w:tcBorders>
            <w:shd w:val="clear" w:color="000000" w:fill="FFFFFF"/>
            <w:noWrap/>
            <w:vAlign w:val="center"/>
            <w:hideMark/>
          </w:tcPr>
          <w:p w14:paraId="0A49D0FC" w14:textId="77777777" w:rsidR="00047ABB" w:rsidRPr="0046223A" w:rsidRDefault="00047ABB" w:rsidP="00A75EBC">
            <w:pPr>
              <w:rPr>
                <w:b/>
                <w:bCs/>
                <w:lang w:eastAsia="es-CO"/>
              </w:rPr>
            </w:pPr>
            <w:r w:rsidRPr="0046223A">
              <w:rPr>
                <w:b/>
                <w:bCs/>
                <w:lang w:eastAsia="es-CO"/>
              </w:rPr>
              <w:t>Abajo</w:t>
            </w:r>
          </w:p>
        </w:tc>
        <w:tc>
          <w:tcPr>
            <w:tcW w:w="1200" w:type="dxa"/>
            <w:tcBorders>
              <w:top w:val="nil"/>
              <w:left w:val="nil"/>
              <w:bottom w:val="single" w:sz="8" w:space="0" w:color="auto"/>
              <w:right w:val="nil"/>
            </w:tcBorders>
            <w:shd w:val="clear" w:color="000000" w:fill="FFFFFF"/>
            <w:noWrap/>
            <w:vAlign w:val="center"/>
            <w:hideMark/>
          </w:tcPr>
          <w:p w14:paraId="4CE2F9C3" w14:textId="7429231B" w:rsidR="00047ABB" w:rsidRPr="00047ABB" w:rsidRDefault="0046223A" w:rsidP="00A75EBC">
            <w:pPr>
              <w:rPr>
                <w:lang w:eastAsia="es-CO"/>
              </w:rPr>
            </w:pPr>
            <m:oMathPara>
              <m:oMath>
                <m:r>
                  <m:rPr>
                    <m:sty m:val="p"/>
                  </m:rPr>
                  <w:rPr>
                    <w:rFonts w:ascii="Cambria Math" w:hAnsi="Cambria Math"/>
                    <w:lang w:eastAsia="es-CO"/>
                  </w:rPr>
                  <m:t>-</m:t>
                </m:r>
                <m:r>
                  <w:rPr>
                    <w:rFonts w:ascii="Cambria Math" w:hAnsi="Cambria Math"/>
                    <w:lang w:eastAsia="es-CO"/>
                  </w:rPr>
                  <m:t>S</m:t>
                </m:r>
                <m:r>
                  <m:rPr>
                    <m:sty m:val="p"/>
                  </m:rPr>
                  <w:rPr>
                    <w:rFonts w:ascii="Cambria Math" w:hAnsi="Cambria Math"/>
                    <w:lang w:eastAsia="es-CO"/>
                  </w:rPr>
                  <m:t>0</m:t>
                </m:r>
              </m:oMath>
            </m:oMathPara>
          </w:p>
        </w:tc>
        <w:tc>
          <w:tcPr>
            <w:tcW w:w="2540" w:type="dxa"/>
            <w:tcBorders>
              <w:top w:val="nil"/>
              <w:left w:val="single" w:sz="4" w:space="0" w:color="auto"/>
              <w:bottom w:val="single" w:sz="8" w:space="0" w:color="auto"/>
              <w:right w:val="single" w:sz="4" w:space="0" w:color="auto"/>
            </w:tcBorders>
            <w:shd w:val="clear" w:color="000000" w:fill="FFFFFF"/>
            <w:noWrap/>
            <w:vAlign w:val="center"/>
            <w:hideMark/>
          </w:tcPr>
          <w:p w14:paraId="3A9479BE" w14:textId="2C34AA74" w:rsidR="00047ABB" w:rsidRPr="00047ABB" w:rsidRDefault="0046223A"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1 *</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oMath>
            </m:oMathPara>
          </w:p>
        </w:tc>
        <w:tc>
          <w:tcPr>
            <w:tcW w:w="2526" w:type="dxa"/>
            <w:tcBorders>
              <w:top w:val="nil"/>
              <w:left w:val="nil"/>
              <w:bottom w:val="single" w:sz="8" w:space="0" w:color="auto"/>
              <w:right w:val="single" w:sz="8" w:space="0" w:color="auto"/>
            </w:tcBorders>
            <w:shd w:val="clear" w:color="000000" w:fill="FFFFFF"/>
            <w:noWrap/>
            <w:vAlign w:val="center"/>
            <w:hideMark/>
          </w:tcPr>
          <w:p w14:paraId="6D0F47EF" w14:textId="72DFAF8D" w:rsidR="00047ABB" w:rsidRPr="00047ABB" w:rsidRDefault="0046223A" w:rsidP="00A75EBC">
            <w:pPr>
              <w:rPr>
                <w:rFonts w:eastAsia="Times New Roman"/>
                <w:color w:val="000000"/>
                <w:sz w:val="16"/>
                <w:szCs w:val="16"/>
                <w:lang w:eastAsia="es-CO"/>
              </w:rPr>
            </w:pPr>
            <m:oMathPara>
              <m:oMath>
                <m:r>
                  <m:rPr>
                    <m:sty m:val="p"/>
                  </m:rPr>
                  <w:rPr>
                    <w:rFonts w:ascii="Cambria Math" w:eastAsia="Times New Roman" w:hAnsi="Cambria Math"/>
                    <w:color w:val="000000"/>
                    <w:sz w:val="16"/>
                    <w:szCs w:val="16"/>
                    <w:lang w:eastAsia="es-CO"/>
                  </w:rPr>
                  <m:t>-</m:t>
                </m:r>
                <m:r>
                  <w:rPr>
                    <w:rFonts w:ascii="Cambria Math" w:eastAsia="Times New Roman" w:hAnsi="Cambria Math"/>
                    <w:color w:val="000000"/>
                    <w:sz w:val="16"/>
                    <w:szCs w:val="16"/>
                    <w:lang w:eastAsia="es-CO"/>
                  </w:rPr>
                  <m:t>S</m:t>
                </m:r>
                <m:r>
                  <m:rPr>
                    <m:sty m:val="p"/>
                  </m:rPr>
                  <w:rPr>
                    <w:rFonts w:ascii="Cambria Math" w:eastAsia="Times New Roman" w:hAnsi="Cambria Math"/>
                    <w:color w:val="000000"/>
                    <w:sz w:val="16"/>
                    <w:szCs w:val="16"/>
                    <w:lang w:eastAsia="es-CO"/>
                  </w:rPr>
                  <m:t>2 * (1-</m:t>
                </m:r>
                <m:sSup>
                  <m:sSupPr>
                    <m:ctrlPr>
                      <w:rPr>
                        <w:rFonts w:ascii="Cambria Math" w:hAnsi="Cambria Math"/>
                      </w:rPr>
                    </m:ctrlPr>
                  </m:sSupPr>
                  <m:e>
                    <m:r>
                      <w:rPr>
                        <w:rFonts w:ascii="Cambria Math" w:hAnsi="Cambria Math"/>
                      </w:rPr>
                      <m:t>e</m:t>
                    </m:r>
                  </m:e>
                  <m:sup>
                    <m:f>
                      <m:fPr>
                        <m:ctrlPr>
                          <w:rPr>
                            <w:rFonts w:ascii="Cambria Math" w:hAnsi="Cambria Math"/>
                          </w:rPr>
                        </m:ctrlPr>
                      </m:fPr>
                      <m:num>
                        <m:sSub>
                          <m:sSubPr>
                            <m:ctrlPr>
                              <w:rPr>
                                <w:rFonts w:ascii="Cambria Math" w:hAnsi="Cambria Math"/>
                              </w:rPr>
                            </m:ctrlPr>
                          </m:sSubPr>
                          <m:e>
                            <m:r>
                              <m:rPr>
                                <m:sty m:val="p"/>
                              </m:rPr>
                              <w:rPr>
                                <w:rFonts w:ascii="Cambria Math" w:hAnsi="Cambria Math"/>
                              </w:rPr>
                              <m:t>-</m:t>
                            </m:r>
                            <m:r>
                              <w:rPr>
                                <w:rFonts w:ascii="Cambria Math" w:hAnsi="Cambria Math"/>
                              </w:rPr>
                              <m:t>t</m:t>
                            </m:r>
                          </m:e>
                          <m:sub>
                            <m:r>
                              <w:rPr>
                                <w:rFonts w:ascii="Cambria Math" w:hAnsi="Cambria Math"/>
                              </w:rPr>
                              <m:t>k</m:t>
                            </m:r>
                          </m:sub>
                        </m:sSub>
                      </m:num>
                      <m:den>
                        <m:r>
                          <w:rPr>
                            <w:rFonts w:ascii="Cambria Math" w:hAnsi="Cambria Math"/>
                          </w:rPr>
                          <m:t>x</m:t>
                        </m:r>
                      </m:den>
                    </m:f>
                  </m:sup>
                </m:sSup>
                <m:r>
                  <m:rPr>
                    <m:sty m:val="p"/>
                  </m:rPr>
                  <w:rPr>
                    <w:rFonts w:ascii="Cambria Math" w:eastAsia="Times New Roman" w:hAnsi="Cambria Math"/>
                    <w:color w:val="000000"/>
                    <w:sz w:val="16"/>
                    <w:szCs w:val="16"/>
                    <w:lang w:eastAsia="es-CO"/>
                  </w:rPr>
                  <m:t>)</m:t>
                </m:r>
              </m:oMath>
            </m:oMathPara>
          </w:p>
        </w:tc>
      </w:tr>
    </w:tbl>
    <w:p w14:paraId="4E32A1B7" w14:textId="77777777" w:rsidR="00916363" w:rsidRPr="00047ABB" w:rsidRDefault="00916363" w:rsidP="00A75EBC"/>
    <w:p w14:paraId="569F21E3" w14:textId="4581F7B8" w:rsidR="00C63FD3" w:rsidRPr="00A93CEF" w:rsidRDefault="00C63FD3" w:rsidP="00B047AC">
      <w:pPr>
        <w:pStyle w:val="Prrafodelista"/>
        <w:numPr>
          <w:ilvl w:val="0"/>
          <w:numId w:val="16"/>
        </w:numPr>
        <w:ind w:left="284" w:hanging="284"/>
      </w:pPr>
      <w:r w:rsidRPr="00A93CEF">
        <w:t xml:space="preserve">Choque en paralelo para la moneda c: </w:t>
      </w:r>
      <w:r w:rsidR="00CB2363" w:rsidRPr="00A93CEF">
        <w:t>C</w:t>
      </w:r>
      <w:r w:rsidRPr="00A93CEF">
        <w:t>onstante al alza o a la baja en todos los intervalos de tiempo.</w:t>
      </w:r>
    </w:p>
    <w:p w14:paraId="52DE6465" w14:textId="77777777" w:rsidR="00F54400" w:rsidRPr="00F54400" w:rsidRDefault="00F54400" w:rsidP="00A75EBC">
      <w:pPr>
        <w:pStyle w:val="Prrafodelista"/>
        <w:rPr>
          <w:rFonts w:eastAsiaTheme="minorEastAsia"/>
        </w:rPr>
      </w:pPr>
    </w:p>
    <w:p w14:paraId="31E3E113" w14:textId="56493E0D" w:rsidR="00C63FD3" w:rsidRPr="00A93CEF"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paralelo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m:t>
          </m:r>
          <m:sSub>
            <m:sSubPr>
              <m:ctrlPr>
                <w:rPr>
                  <w:rFonts w:ascii="Cambria Math" w:hAnsi="Cambria Math"/>
                </w:rPr>
              </m:ctrlPr>
            </m:sSubPr>
            <m:e>
              <m:r>
                <w:rPr>
                  <w:rFonts w:ascii="Cambria Math" w:hAnsi="Cambria Math"/>
                </w:rPr>
                <m:t>S</m:t>
              </m:r>
            </m:e>
            <m:sub>
              <m:r>
                <m:rPr>
                  <m:sty m:val="p"/>
                </m:rPr>
                <w:rPr>
                  <w:rFonts w:ascii="Cambria Math" w:hAnsi="Cambria Math"/>
                </w:rPr>
                <m:t xml:space="preserve">0,   </m:t>
              </m:r>
              <m:r>
                <w:rPr>
                  <w:rFonts w:ascii="Cambria Math" w:hAnsi="Cambria Math"/>
                </w:rPr>
                <m:t>c</m:t>
              </m:r>
            </m:sub>
          </m:sSub>
        </m:oMath>
      </m:oMathPara>
    </w:p>
    <w:p w14:paraId="0E3E670E" w14:textId="6151DA7F" w:rsidR="00C63FD3" w:rsidRPr="00A93CEF" w:rsidRDefault="00C63FD3" w:rsidP="00A75EBC">
      <w:pPr>
        <w:pStyle w:val="Prrafodelista"/>
      </w:pPr>
    </w:p>
    <w:p w14:paraId="0B042CB3" w14:textId="77777777" w:rsidR="00C63FD3" w:rsidRPr="00A93CEF" w:rsidRDefault="00C63FD3" w:rsidP="00AD62E6">
      <w:pPr>
        <w:ind w:firstLine="708"/>
      </w:pPr>
      <w:r w:rsidRPr="00A93CEF">
        <w:t>Donde,</w:t>
      </w:r>
    </w:p>
    <w:p w14:paraId="0CD7427B" w14:textId="2851AE73" w:rsidR="00F54400" w:rsidRDefault="00C63FD3" w:rsidP="00A75EBC">
      <w:pPr>
        <w:pStyle w:val="Prrafodelista"/>
      </w:pPr>
      <w:r w:rsidRPr="00A93CEF">
        <w:t xml:space="preserve"> </w:t>
      </w: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paralelo</m:t>
            </m:r>
          </m:sub>
        </m:sSub>
        <m:r>
          <w:rPr>
            <w:rFonts w:ascii="Cambria Math" w:hAnsi="Cambria Math"/>
          </w:rPr>
          <m:t>, 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Pr="00A93CEF">
        <w:t xml:space="preserve"> es el choque paralelo a la moneda (c) en el punto medio (</w:t>
      </w:r>
      <m:oMath>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 xml:space="preserve">) </m:t>
        </m:r>
      </m:oMath>
      <w:r w:rsidRPr="00A93CEF">
        <w:t>de la banda de tiempo k</w:t>
      </w:r>
      <w:r w:rsidR="007261BF">
        <w:t>.</w:t>
      </w:r>
      <w:r w:rsidR="00F54400">
        <w:t xml:space="preserve"> </w:t>
      </w:r>
    </w:p>
    <w:p w14:paraId="521FCE98" w14:textId="77777777" w:rsidR="00F54400" w:rsidRDefault="00F54400" w:rsidP="00A75EBC">
      <w:pPr>
        <w:pStyle w:val="Prrafodelista"/>
      </w:pPr>
    </w:p>
    <w:p w14:paraId="06F217E0" w14:textId="48C9E8BB" w:rsidR="00033DA0" w:rsidRDefault="00033DA0" w:rsidP="00AD62E6">
      <w:pPr>
        <w:ind w:firstLine="284"/>
      </w:pPr>
      <w:r>
        <w:t>Este choque hace parte de los escenarios 1 y 2</w:t>
      </w:r>
      <w:r w:rsidR="003945FB">
        <w:t xml:space="preserve"> de</w:t>
      </w:r>
      <w:r w:rsidR="00BF1D53">
        <w:t xml:space="preserve"> </w:t>
      </w:r>
      <w:r w:rsidR="003945FB">
        <w:t>l</w:t>
      </w:r>
      <w:r w:rsidR="00BF1D53">
        <w:t>as instrucciones establecidas en el</w:t>
      </w:r>
      <w:r w:rsidR="003945FB">
        <w:t xml:space="preserve"> </w:t>
      </w:r>
      <w:proofErr w:type="spellStart"/>
      <w:r w:rsidR="003945FB">
        <w:t>subnumeral</w:t>
      </w:r>
      <w:proofErr w:type="spellEnd"/>
      <w:r w:rsidR="003945FB">
        <w:t xml:space="preserve"> 1.3</w:t>
      </w:r>
      <w:r>
        <w:t>.</w:t>
      </w:r>
    </w:p>
    <w:p w14:paraId="508DD350" w14:textId="5D8C35D9" w:rsidR="00033DA0" w:rsidRPr="00A93CEF" w:rsidRDefault="00033DA0" w:rsidP="00A75EBC">
      <w:pPr>
        <w:pStyle w:val="Prrafodelista"/>
      </w:pPr>
    </w:p>
    <w:p w14:paraId="06216404" w14:textId="2C0BC8CA" w:rsidR="00C63FD3" w:rsidRDefault="00C63FD3" w:rsidP="00B047AC">
      <w:pPr>
        <w:pStyle w:val="Prrafodelista"/>
        <w:numPr>
          <w:ilvl w:val="0"/>
          <w:numId w:val="16"/>
        </w:numPr>
        <w:ind w:left="284" w:hanging="284"/>
        <w:rPr>
          <w:color w:val="000000"/>
          <w:shd w:val="clear" w:color="auto" w:fill="FFFFFF"/>
        </w:rPr>
      </w:pPr>
      <w:r w:rsidRPr="00A93CEF">
        <w:t xml:space="preserve">Choque de la tasa a corto </w:t>
      </w:r>
      <w:r w:rsidR="00013943" w:rsidRPr="00A93CEF">
        <w:t>plazo</w:t>
      </w:r>
      <w:r w:rsidRPr="00A93CEF">
        <w:t xml:space="preserve"> para la moneda c: </w:t>
      </w:r>
      <w:r w:rsidR="00981F65" w:rsidRPr="00A93CEF">
        <w:t>A</w:t>
      </w:r>
      <w:r w:rsidRPr="00A93CEF">
        <w:t xml:space="preserve">l alza o a la baja </w:t>
      </w:r>
      <w:r w:rsidR="00030D07" w:rsidRPr="00A93CEF">
        <w:t>cuyo</w:t>
      </w:r>
      <w:r w:rsidR="00BB66E4" w:rsidRPr="00A93CEF">
        <w:t xml:space="preserve"> valor máximo</w:t>
      </w:r>
      <w:r w:rsidRPr="00A93CEF">
        <w:t xml:space="preserve"> </w:t>
      </w:r>
      <w:r w:rsidR="00030D07" w:rsidRPr="00A93CEF">
        <w:t xml:space="preserve">está </w:t>
      </w:r>
      <w:r w:rsidRPr="00A93CEF">
        <w:t xml:space="preserve">en el punto medio de vencimiento más corto. Entendiendo el choque como la función </w:t>
      </w:r>
      <w:r w:rsidRPr="00A93CEF">
        <w:rPr>
          <w:rFonts w:eastAsiaTheme="minorEastAsia"/>
        </w:rPr>
        <w:t xml:space="preserve">escalar </w:t>
      </w:r>
      <m:oMath>
        <m:sSub>
          <m:sSubPr>
            <m:ctrlPr>
              <w:rPr>
                <w:rFonts w:ascii="Cambria Math" w:hAnsi="Cambria Math"/>
                <w:i/>
              </w:rPr>
            </m:ctrlPr>
          </m:sSubPr>
          <m:e>
            <m:r>
              <w:rPr>
                <w:rFonts w:ascii="Cambria Math" w:hAnsi="Cambria Math"/>
              </w:rPr>
              <m:t>S</m:t>
            </m:r>
          </m:e>
          <m:sub>
            <m:r>
              <w:rPr>
                <w:rFonts w:ascii="Cambria Math" w:hAnsi="Cambria Math"/>
              </w:rPr>
              <m:t>corto</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k</m:t>
                    </m:r>
                  </m:sub>
                </m:sSub>
              </m:num>
              <m:den>
                <m:r>
                  <w:rPr>
                    <w:rFonts w:ascii="Cambria Math" w:hAnsi="Cambria Math"/>
                  </w:rPr>
                  <m:t>x</m:t>
                </m:r>
              </m:den>
            </m:f>
          </m:sup>
        </m:sSup>
      </m:oMath>
      <w:r w:rsidRPr="00A93CEF">
        <w:rPr>
          <w:rFonts w:eastAsiaTheme="minorEastAsia"/>
        </w:rPr>
        <w:t xml:space="preserve">, donde </w:t>
      </w:r>
      <m:oMath>
        <m:r>
          <w:rPr>
            <w:rFonts w:ascii="Cambria Math" w:eastAsiaTheme="minorEastAsia" w:hAnsi="Cambria Math"/>
          </w:rPr>
          <m:t>x=4</m:t>
        </m:r>
      </m:oMath>
      <w:r w:rsidR="000D3AA2" w:rsidRPr="00A93CEF">
        <w:rPr>
          <w:rFonts w:eastAsiaTheme="minorEastAsia"/>
        </w:rPr>
        <w:t xml:space="preserve"> y</w:t>
      </w:r>
      <w:r w:rsidRPr="00A93CEF">
        <w:rPr>
          <w:rFonts w:eastAsiaTheme="minorEastAsia"/>
        </w:rPr>
        <w:t xml:space="preserve"> </w:t>
      </w:r>
      <w:r w:rsidR="000D3AA2" w:rsidRPr="00A93CEF">
        <w:rPr>
          <w:rFonts w:eastAsiaTheme="minorEastAsia"/>
        </w:rPr>
        <w:t>l</w:t>
      </w:r>
      <w:r w:rsidR="00960D0E" w:rsidRPr="00A93CEF">
        <w:rPr>
          <w:rFonts w:eastAsiaTheme="minorEastAsia"/>
        </w:rPr>
        <w:t>a</w:t>
      </w:r>
      <w:r w:rsidR="00944DDB" w:rsidRPr="00A93CEF">
        <w:rPr>
          <w:rFonts w:eastAsiaTheme="minorEastAsia"/>
        </w:rPr>
        <w:t xml:space="preserve"> función </w:t>
      </w:r>
      <w:r w:rsidR="00987779" w:rsidRPr="00A93CEF">
        <w:rPr>
          <w:rFonts w:eastAsiaTheme="minorEastAsia"/>
        </w:rPr>
        <w:t>ti</w:t>
      </w:r>
      <w:r w:rsidR="0090429A" w:rsidRPr="00A93CEF">
        <w:rPr>
          <w:rFonts w:eastAsiaTheme="minorEastAsia"/>
        </w:rPr>
        <w:t>ende a</w:t>
      </w:r>
      <w:r w:rsidRPr="00A93CEF">
        <w:rPr>
          <w:rFonts w:eastAsiaTheme="minorEastAsia"/>
        </w:rPr>
        <w:t xml:space="preserve"> 0 </w:t>
      </w:r>
      <w:r w:rsidR="0090429A" w:rsidRPr="00A93CEF">
        <w:rPr>
          <w:rFonts w:eastAsiaTheme="minorEastAsia"/>
        </w:rPr>
        <w:t>a medida que</w:t>
      </w:r>
      <w:r w:rsidRPr="00A93CEF">
        <w:rPr>
          <w:rFonts w:eastAsiaTheme="minorEastAsia"/>
        </w:rPr>
        <w:t xml:space="preserve"> el </w:t>
      </w:r>
      <w:r w:rsidRPr="00A93CEF">
        <w:rPr>
          <w:color w:val="000000"/>
          <w:shd w:val="clear" w:color="auto" w:fill="FFFFFF"/>
        </w:rPr>
        <w:t>vencimiento de la estructura temporal</w:t>
      </w:r>
      <w:r w:rsidR="005800A2" w:rsidRPr="00A93CEF">
        <w:rPr>
          <w:color w:val="000000"/>
          <w:shd w:val="clear" w:color="auto" w:fill="FFFFFF"/>
        </w:rPr>
        <w:t xml:space="preserve"> aumenta</w:t>
      </w:r>
      <w:r w:rsidRPr="00A93CEF">
        <w:rPr>
          <w:color w:val="000000"/>
          <w:shd w:val="clear" w:color="auto" w:fill="FFFFFF"/>
        </w:rPr>
        <w:t>.</w:t>
      </w:r>
    </w:p>
    <w:p w14:paraId="036E9F9D" w14:textId="5F738F68" w:rsidR="00C52543" w:rsidRPr="00A93CEF" w:rsidRDefault="00C52543" w:rsidP="00C52543">
      <w:pPr>
        <w:pStyle w:val="Prrafodelista"/>
        <w:rPr>
          <w:color w:val="000000"/>
          <w:shd w:val="clear" w:color="auto" w:fill="FFFFFF"/>
        </w:rPr>
      </w:pPr>
    </w:p>
    <w:p w14:paraId="4A069EC1" w14:textId="6EDC849F" w:rsidR="00C63FD3" w:rsidRPr="00655078"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corto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m:t>
          </m:r>
          <m:sSub>
            <m:sSubPr>
              <m:ctrlPr>
                <w:rPr>
                  <w:rFonts w:ascii="Cambria Math" w:hAnsi="Cambria Math"/>
                </w:rPr>
              </m:ctrlPr>
            </m:sSubPr>
            <m:e>
              <m:r>
                <w:rPr>
                  <w:rFonts w:ascii="Cambria Math" w:hAnsi="Cambria Math"/>
                </w:rPr>
                <m:t>S</m:t>
              </m:r>
            </m:e>
            <m:sub>
              <m:r>
                <m:rPr>
                  <m:sty m:val="p"/>
                </m:rPr>
                <w:rPr>
                  <w:rFonts w:ascii="Cambria Math" w:hAnsi="Cambria Math"/>
                </w:rPr>
                <m:t xml:space="preserve">1,   </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corto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648AFF60" w14:textId="77777777" w:rsidR="00033DA0" w:rsidRDefault="00033DA0" w:rsidP="00033DA0">
      <w:pPr>
        <w:pStyle w:val="Sinespaciado"/>
        <w:ind w:left="709"/>
      </w:pPr>
    </w:p>
    <w:p w14:paraId="7B053FE1" w14:textId="3A6FCCD1" w:rsidR="00C63FD3" w:rsidRDefault="00033DA0" w:rsidP="00AD62E6">
      <w:pPr>
        <w:pStyle w:val="Sinespaciado"/>
        <w:ind w:firstLine="284"/>
      </w:pPr>
      <w:r>
        <w:t>Este choque hace parte de los escenarios 5 y 6</w:t>
      </w:r>
      <w:r w:rsidR="00196179">
        <w:t xml:space="preserve"> de</w:t>
      </w:r>
      <w:r w:rsidR="00BF1D53">
        <w:t xml:space="preserve"> </w:t>
      </w:r>
      <w:r w:rsidR="00196179">
        <w:t>l</w:t>
      </w:r>
      <w:r w:rsidR="00BF1D53">
        <w:t xml:space="preserve">as instrucciones del </w:t>
      </w:r>
      <w:proofErr w:type="spellStart"/>
      <w:r w:rsidR="005C1606">
        <w:t>subnumeral</w:t>
      </w:r>
      <w:proofErr w:type="spellEnd"/>
      <w:r w:rsidR="005C1606">
        <w:t xml:space="preserve"> 1.3</w:t>
      </w:r>
      <w:r>
        <w:t>.</w:t>
      </w:r>
    </w:p>
    <w:p w14:paraId="5E471B10" w14:textId="4F9B0448" w:rsidR="00033DA0" w:rsidRPr="00D70D6E" w:rsidRDefault="00033DA0" w:rsidP="00A75EBC">
      <w:pPr>
        <w:pStyle w:val="Prrafodelista"/>
      </w:pPr>
    </w:p>
    <w:p w14:paraId="13709EEA" w14:textId="5454B65E" w:rsidR="00C63FD3" w:rsidRPr="00A93CEF" w:rsidRDefault="00C63FD3" w:rsidP="00B047AC">
      <w:pPr>
        <w:pStyle w:val="Prrafodelista"/>
        <w:numPr>
          <w:ilvl w:val="0"/>
          <w:numId w:val="16"/>
        </w:numPr>
        <w:ind w:left="284" w:hanging="284"/>
      </w:pPr>
      <w:r w:rsidRPr="00A93CEF">
        <w:t xml:space="preserve">Choque de la tasa </w:t>
      </w:r>
      <w:r w:rsidR="00DE3DC1" w:rsidRPr="00A93CEF">
        <w:t>de</w:t>
      </w:r>
      <w:r w:rsidRPr="00A93CEF">
        <w:t xml:space="preserve"> largo </w:t>
      </w:r>
      <w:r w:rsidR="00944DDB" w:rsidRPr="00A93CEF">
        <w:t xml:space="preserve">plazo </w:t>
      </w:r>
      <w:r w:rsidRPr="00A93CEF">
        <w:t xml:space="preserve">para la moneda c: </w:t>
      </w:r>
      <w:r w:rsidR="00F21E33" w:rsidRPr="00A93CEF">
        <w:t>Q</w:t>
      </w:r>
      <w:r w:rsidR="00000E57" w:rsidRPr="00A93CEF">
        <w:t>ue</w:t>
      </w:r>
      <w:r w:rsidRPr="00A93CEF">
        <w:t xml:space="preserve"> es mayor en el punto medio del plazo más largo:</w:t>
      </w:r>
    </w:p>
    <w:p w14:paraId="628D3A5E" w14:textId="77777777" w:rsidR="00C63FD3" w:rsidRPr="00A93CEF" w:rsidRDefault="00E41B2D" w:rsidP="00A75EBC">
      <w:pPr>
        <w:pStyle w:val="Prrafodelista"/>
      </w:pPr>
      <m:oMathPara>
        <m:oMath>
          <m:sSub>
            <m:sSubPr>
              <m:ctrlPr>
                <w:rPr>
                  <w:rFonts w:ascii="Cambria Math" w:hAnsi="Cambria Math"/>
                </w:rPr>
              </m:ctrlPr>
            </m:sSubPr>
            <m:e>
              <m:r>
                <w:rPr>
                  <w:rFonts w:ascii="Cambria Math" w:hAnsi="Cambria Math"/>
                </w:rPr>
                <m:t>S</m:t>
              </m:r>
            </m:e>
            <m:sub>
              <m:r>
                <w:rPr>
                  <w:rFonts w:ascii="Cambria Math" w:hAnsi="Cambria Math"/>
                </w:rPr>
                <m:t>largo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=1- </m:t>
          </m:r>
          <m:sSub>
            <m:sSubPr>
              <m:ctrlPr>
                <w:rPr>
                  <w:rFonts w:ascii="Cambria Math" w:hAnsi="Cambria Math"/>
                </w:rPr>
              </m:ctrlPr>
            </m:sSubPr>
            <m:e>
              <m:r>
                <w:rPr>
                  <w:rFonts w:ascii="Cambria Math" w:hAnsi="Cambria Math"/>
                </w:rPr>
                <m:t>S</m:t>
              </m:r>
            </m:e>
            <m:sub>
              <m:r>
                <w:rPr>
                  <w:rFonts w:ascii="Cambria Math" w:hAnsi="Cambria Math"/>
                </w:rPr>
                <m:t>corto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4F5D87F8" w14:textId="30A9A126" w:rsidR="00835609" w:rsidRPr="005F65EA" w:rsidRDefault="00C63FD3" w:rsidP="005F65EA">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largo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m:t>
          </m:r>
          <m:sSub>
            <m:sSubPr>
              <m:ctrlPr>
                <w:rPr>
                  <w:rFonts w:ascii="Cambria Math" w:hAnsi="Cambria Math"/>
                </w:rPr>
              </m:ctrlPr>
            </m:sSubPr>
            <m:e>
              <m:r>
                <w:rPr>
                  <w:rFonts w:ascii="Cambria Math" w:hAnsi="Cambria Math"/>
                </w:rPr>
                <m:t>S</m:t>
              </m:r>
            </m:e>
            <m:sub>
              <m:r>
                <m:rPr>
                  <m:sty m:val="p"/>
                </m:rPr>
                <w:rPr>
                  <w:rFonts w:ascii="Cambria Math" w:hAnsi="Cambria Math"/>
                </w:rPr>
                <m:t xml:space="preserve">1,   </m:t>
              </m:r>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largo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00DBE1FF" w14:textId="77777777" w:rsidR="00835609" w:rsidRPr="00A93CEF" w:rsidRDefault="00835609" w:rsidP="00A75EBC">
      <w:pPr>
        <w:pStyle w:val="Prrafodelista"/>
      </w:pPr>
    </w:p>
    <w:p w14:paraId="1B865B03" w14:textId="16BDEA23" w:rsidR="00C63FD3" w:rsidRPr="00A93CEF" w:rsidRDefault="00C63FD3" w:rsidP="00B047AC">
      <w:pPr>
        <w:pStyle w:val="Prrafodelista"/>
        <w:numPr>
          <w:ilvl w:val="0"/>
          <w:numId w:val="16"/>
        </w:numPr>
        <w:ind w:left="284" w:hanging="284"/>
      </w:pPr>
      <w:r w:rsidRPr="00A93CEF">
        <w:t xml:space="preserve">Choques de rotación para la moneda c: </w:t>
      </w:r>
      <w:r w:rsidR="006E1AA1">
        <w:t>I</w:t>
      </w:r>
      <w:r w:rsidRPr="00A93CEF">
        <w:t>mplican rotaciones de la estructura temporal (</w:t>
      </w:r>
      <w:r w:rsidR="009734EE" w:rsidRPr="00A93CEF">
        <w:t xml:space="preserve">inclinación </w:t>
      </w:r>
      <w:r w:rsidR="009734EE">
        <w:t xml:space="preserve">y </w:t>
      </w:r>
      <w:r w:rsidRPr="00A93CEF">
        <w:t xml:space="preserve">aplanamiento) de las tasas de interés </w:t>
      </w:r>
      <w:r w:rsidR="00DB3A7E" w:rsidRPr="00A93CEF">
        <w:t>de</w:t>
      </w:r>
      <w:r w:rsidRPr="00A93CEF">
        <w:t xml:space="preserve"> largo </w:t>
      </w:r>
      <w:r w:rsidR="00F36CB5" w:rsidRPr="00A93CEF">
        <w:t>y</w:t>
      </w:r>
      <w:r w:rsidRPr="00A93CEF">
        <w:t xml:space="preserve"> </w:t>
      </w:r>
      <w:r w:rsidR="00DB3A7E" w:rsidRPr="00A93CEF">
        <w:t>de</w:t>
      </w:r>
      <w:r w:rsidRPr="00A93CEF">
        <w:t xml:space="preserve"> corto plazo</w:t>
      </w:r>
      <w:r w:rsidR="00C34F4F">
        <w:t>, aplicando las siguientes formulas a los choques</w:t>
      </w:r>
      <w:r w:rsidRPr="00A93CEF">
        <w:t>:</w:t>
      </w:r>
    </w:p>
    <w:p w14:paraId="0C5E3C2A" w14:textId="3386F603" w:rsidR="00C63FD3" w:rsidRPr="00A93CEF" w:rsidRDefault="00C63FD3" w:rsidP="00A75EBC">
      <w:pPr>
        <w:pStyle w:val="Prrafodelista"/>
      </w:pPr>
    </w:p>
    <w:p w14:paraId="1636C1F8" w14:textId="77777777" w:rsidR="00C63FD3" w:rsidRPr="00A93CEF"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inclinaci</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=- 0.65*</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corto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r>
            <m:rPr>
              <m:sty m:val="p"/>
            </m:rPr>
            <w:rPr>
              <w:rFonts w:ascii="Cambria Math" w:hAnsi="Cambria Math"/>
            </w:rPr>
            <m:t>+0.9*</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largo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oMath>
      </m:oMathPara>
    </w:p>
    <w:p w14:paraId="4DBC0F19" w14:textId="77777777" w:rsidR="00C63FD3" w:rsidRPr="00A93CEF" w:rsidRDefault="00C63FD3" w:rsidP="00A75EBC">
      <w:pPr>
        <w:pStyle w:val="Prrafodelista"/>
        <w:rPr>
          <w:rFonts w:eastAsiaTheme="minorEastAsia"/>
        </w:rPr>
      </w:pPr>
      <m:oMathPara>
        <m:oMath>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aplanamiento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0.8*</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corto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r>
            <m:rPr>
              <m:sty m:val="p"/>
            </m:rPr>
            <w:rPr>
              <w:rFonts w:ascii="Cambria Math" w:hAnsi="Cambria Math"/>
            </w:rPr>
            <m:t>-0.6*</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largo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e>
          </m:d>
        </m:oMath>
      </m:oMathPara>
    </w:p>
    <w:p w14:paraId="429C2147" w14:textId="77777777" w:rsidR="00C63FD3" w:rsidRDefault="00C63FD3" w:rsidP="00A75EBC">
      <w:pPr>
        <w:pStyle w:val="Prrafodelista"/>
      </w:pPr>
    </w:p>
    <w:p w14:paraId="2356D672" w14:textId="45BB7A4E" w:rsidR="00182702" w:rsidRPr="00A93CEF" w:rsidRDefault="00AD62E6" w:rsidP="00AD62E6">
      <w:r>
        <w:t xml:space="preserve">      </w:t>
      </w:r>
      <w:r w:rsidR="00182702">
        <w:t>Estos choques hacen parte de los escenarios 3 (inclinación) y 4 (aplanamiento)</w:t>
      </w:r>
    </w:p>
    <w:p w14:paraId="29FE9559" w14:textId="5A3793C5" w:rsidR="00385B13" w:rsidRDefault="00385B13" w:rsidP="00A75EBC"/>
    <w:p w14:paraId="4841C0BC" w14:textId="3D358B41" w:rsidR="00C34F4F" w:rsidRDefault="00C34F4F" w:rsidP="00A75EBC">
      <w:r w:rsidRPr="00C34F4F">
        <w:t xml:space="preserve">A manera de ejemplo, a </w:t>
      </w:r>
      <w:r w:rsidR="00A320B6" w:rsidRPr="00C34F4F">
        <w:t>co</w:t>
      </w:r>
      <w:r w:rsidR="00A320B6">
        <w:t>ntinuación,</w:t>
      </w:r>
      <w:r w:rsidR="00B017C7">
        <w:t xml:space="preserve"> se presenta un caso </w:t>
      </w:r>
      <w:r w:rsidRPr="00C34F4F">
        <w:t xml:space="preserve">de la aplicación del cálculo </w:t>
      </w:r>
      <w:r w:rsidR="00B017C7">
        <w:t xml:space="preserve">de los choques </w:t>
      </w:r>
      <w:r w:rsidRPr="00C34F4F">
        <w:t>antes definido</w:t>
      </w:r>
      <w:r w:rsidR="00C52543">
        <w:t>s</w:t>
      </w:r>
      <w:r w:rsidRPr="00C34F4F">
        <w:t>.</w:t>
      </w:r>
    </w:p>
    <w:p w14:paraId="28958563" w14:textId="79B7EE9A" w:rsidR="00243E3F" w:rsidRDefault="00243E3F" w:rsidP="00A75EBC"/>
    <w:p w14:paraId="080DF10F" w14:textId="77777777" w:rsidR="00123F2C" w:rsidRDefault="00123F2C" w:rsidP="00A75EBC"/>
    <w:p w14:paraId="146978C6" w14:textId="711E02A3" w:rsidR="00123F2C" w:rsidRPr="00A93CEF" w:rsidRDefault="00123F2C" w:rsidP="00A75EBC"/>
    <w:p w14:paraId="621B81E9" w14:textId="2DE0CDBB" w:rsidR="00FF3B7B" w:rsidRDefault="008E2EBD" w:rsidP="00A75EBC">
      <w:pPr>
        <w:rPr>
          <w:rFonts w:eastAsiaTheme="minorEastAsia"/>
        </w:rPr>
      </w:pPr>
      <w:r>
        <w:rPr>
          <w:noProof/>
        </w:rPr>
        <w:lastRenderedPageBreak/>
        <mc:AlternateContent>
          <mc:Choice Requires="wps">
            <w:drawing>
              <wp:anchor distT="0" distB="0" distL="114300" distR="114300" simplePos="0" relativeHeight="251669504" behindDoc="0" locked="0" layoutInCell="1" allowOverlap="1" wp14:anchorId="61254AAC" wp14:editId="085FBE6C">
                <wp:simplePos x="0" y="0"/>
                <wp:positionH relativeFrom="column">
                  <wp:posOffset>-146685</wp:posOffset>
                </wp:positionH>
                <wp:positionV relativeFrom="paragraph">
                  <wp:posOffset>6985</wp:posOffset>
                </wp:positionV>
                <wp:extent cx="19050" cy="9820275"/>
                <wp:effectExtent l="0" t="0" r="19050" b="28575"/>
                <wp:wrapNone/>
                <wp:docPr id="2" name="Conector recto 2"/>
                <wp:cNvGraphicFramePr/>
                <a:graphic xmlns:a="http://schemas.openxmlformats.org/drawingml/2006/main">
                  <a:graphicData uri="http://schemas.microsoft.com/office/word/2010/wordprocessingShape">
                    <wps:wsp>
                      <wps:cNvCnPr/>
                      <wps:spPr>
                        <a:xfrm flipH="1">
                          <a:off x="0" y="0"/>
                          <a:ext cx="19050" cy="9820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3039F2" id="Conector recto 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5pt,.55pt" to="-10.05pt,7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" strokecolor="black [3200]" strokeweight=".5pt">
                <v:stroke joinstyle="miter"/>
              </v:line>
            </w:pict>
          </mc:Fallback>
        </mc:AlternateContent>
      </w:r>
      <w:r w:rsidR="00FF3B7B" w:rsidRPr="00A93CEF">
        <w:t xml:space="preserve">Asumiendo </w:t>
      </w:r>
      <w:r w:rsidR="00062EC9" w:rsidRPr="00A93CEF">
        <w:t xml:space="preserve">que </w:t>
      </w:r>
      <m:oMath>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=100 puntos básicos (pb)</m:t>
        </m:r>
      </m:oMath>
      <w:r w:rsidR="00062EC9" w:rsidRPr="00A93CEF">
        <w:rPr>
          <w:rFonts w:eastAsiaTheme="minorEastAsia"/>
        </w:rPr>
        <w:t xml:space="preserve">, </w:t>
      </w: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=150pb</m:t>
        </m:r>
      </m:oMath>
      <w:r w:rsidR="00062EC9" w:rsidRPr="00A93CEF">
        <w:rPr>
          <w:rFonts w:eastAsiaTheme="minorEastAsia"/>
        </w:rPr>
        <w:t xml:space="preserve"> y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=200pb</m:t>
        </m:r>
      </m:oMath>
      <w:r w:rsidR="00C010EA">
        <w:rPr>
          <w:rFonts w:eastAsiaTheme="minorEastAsia"/>
        </w:rPr>
        <w:t xml:space="preserve">, </w:t>
      </w:r>
      <w:r w:rsidR="006E1AA1">
        <w:rPr>
          <w:rFonts w:eastAsiaTheme="minorEastAsia"/>
        </w:rPr>
        <w:t xml:space="preserve">a </w:t>
      </w:r>
      <w:proofErr w:type="gramStart"/>
      <w:r w:rsidR="006E1AA1">
        <w:rPr>
          <w:rFonts w:eastAsiaTheme="minorEastAsia"/>
        </w:rPr>
        <w:t>continuación</w:t>
      </w:r>
      <w:proofErr w:type="gramEnd"/>
      <w:r w:rsidR="006E1AA1">
        <w:rPr>
          <w:rFonts w:eastAsiaTheme="minorEastAsia"/>
        </w:rPr>
        <w:t xml:space="preserve"> </w:t>
      </w:r>
      <w:r w:rsidR="00062EC9" w:rsidRPr="00A93CEF">
        <w:rPr>
          <w:rFonts w:eastAsiaTheme="minorEastAsia"/>
        </w:rPr>
        <w:t xml:space="preserve">se </w:t>
      </w:r>
      <w:r w:rsidR="006E1AA1">
        <w:rPr>
          <w:rFonts w:eastAsiaTheme="minorEastAsia"/>
        </w:rPr>
        <w:t xml:space="preserve">presenta </w:t>
      </w:r>
      <w:r w:rsidR="00062EC9" w:rsidRPr="00A93CEF">
        <w:rPr>
          <w:rFonts w:eastAsiaTheme="minorEastAsia"/>
        </w:rPr>
        <w:t>el ejercicio de escenarios de choques a la tasa de interés.</w:t>
      </w:r>
    </w:p>
    <w:p w14:paraId="7C75E308" w14:textId="37BDCED9" w:rsidR="00C52543" w:rsidRPr="00A93CEF" w:rsidRDefault="00C52543" w:rsidP="00A75EBC">
      <w:pPr>
        <w:rPr>
          <w:rFonts w:eastAsiaTheme="minorEastAsia"/>
        </w:rPr>
      </w:pPr>
    </w:p>
    <w:p w14:paraId="108E6995" w14:textId="08E48576" w:rsidR="00062EC9" w:rsidRPr="00CF5CF8" w:rsidRDefault="00062EC9" w:rsidP="00B047AC">
      <w:pPr>
        <w:pStyle w:val="Prrafodelista"/>
        <w:numPr>
          <w:ilvl w:val="0"/>
          <w:numId w:val="17"/>
        </w:numPr>
        <w:ind w:left="284" w:hanging="284"/>
      </w:pPr>
      <w:r w:rsidRPr="00CF5CF8">
        <w:t>El choque paralelo hacia arriba</w:t>
      </w:r>
      <w:r w:rsidR="00DB49FB" w:rsidRPr="00CF5CF8">
        <w:t xml:space="preserve"> es +100pb</w:t>
      </w:r>
      <w:r w:rsidRPr="00CF5CF8">
        <w:t>, mientras que el paralelo hacia abajo</w:t>
      </w:r>
      <w:r w:rsidR="00DB49FB" w:rsidRPr="00CF5CF8">
        <w:t xml:space="preserve"> es −100pb</w:t>
      </w:r>
      <w:r w:rsidR="005252EE" w:rsidRPr="00CF5CF8">
        <w:t>.</w:t>
      </w:r>
    </w:p>
    <w:p w14:paraId="4B2EEAC7" w14:textId="62C02051" w:rsidR="005252EE" w:rsidRPr="00A93CEF" w:rsidRDefault="005252EE" w:rsidP="00A75EBC">
      <w:pPr>
        <w:pStyle w:val="Prrafodelista"/>
      </w:pPr>
    </w:p>
    <w:p w14:paraId="2BD517E1" w14:textId="13CFC3B5" w:rsidR="00B335B9" w:rsidRPr="00A93CEF" w:rsidRDefault="00286F7A" w:rsidP="00B047AC">
      <w:pPr>
        <w:pStyle w:val="Prrafodelista"/>
        <w:numPr>
          <w:ilvl w:val="0"/>
          <w:numId w:val="17"/>
        </w:numPr>
        <w:ind w:left="284" w:hanging="284"/>
      </w:pPr>
      <w:r w:rsidRPr="00406089">
        <w:t>Para el c</w:t>
      </w:r>
      <w:r w:rsidR="00C63FD3" w:rsidRPr="00406089">
        <w:t xml:space="preserve">hoque de tasa </w:t>
      </w:r>
      <w:r w:rsidR="000B1382" w:rsidRPr="00406089">
        <w:t>de</w:t>
      </w:r>
      <w:r w:rsidR="00C63FD3" w:rsidRPr="00406089">
        <w:t xml:space="preserve"> corto</w:t>
      </w:r>
      <w:r w:rsidR="000B1382" w:rsidRPr="00406089">
        <w:t xml:space="preserve"> plazo</w:t>
      </w:r>
      <w:r w:rsidR="00214D9E" w:rsidRPr="00406089">
        <w:t>:</w:t>
      </w:r>
      <w:r w:rsidR="00214D9E" w:rsidRPr="00A93CEF">
        <w:t xml:space="preserve"> </w:t>
      </w:r>
      <w:r w:rsidR="00A4754B">
        <w:t>S</w:t>
      </w:r>
      <w:r w:rsidR="00C63FD3" w:rsidRPr="00A93CEF">
        <w:t xml:space="preserve">i k = 10 con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C63FD3" w:rsidRPr="00A93CEF">
        <w:t>= 3.5 años, el ajuste escalar sería</w:t>
      </w:r>
      <w:r w:rsidR="00B52626" w:rsidRPr="00A93CEF">
        <w:t>:</w:t>
      </w:r>
    </w:p>
    <w:p w14:paraId="1C032126" w14:textId="3333244B" w:rsidR="00C63FD3" w:rsidRPr="00A93CEF" w:rsidRDefault="00E41B2D" w:rsidP="00A75EBC">
      <w:pPr>
        <w:pStyle w:val="Prrafodelista"/>
        <w:rPr>
          <w:rFonts w:eastAsiaTheme="minorEastAsia"/>
        </w:rPr>
      </w:pPr>
      <m:oMathPara>
        <m:oMath>
          <m:sSub>
            <m:sSubPr>
              <m:ctrlPr>
                <w:rPr>
                  <w:rFonts w:ascii="Cambria Math" w:hAnsi="Cambria Math"/>
                </w:rPr>
              </m:ctrlPr>
            </m:sSubPr>
            <m:e>
              <m:r>
                <w:rPr>
                  <w:rFonts w:ascii="Cambria Math" w:hAnsi="Cambria Math"/>
                </w:rPr>
                <m:t>S</m:t>
              </m:r>
            </m:e>
            <m:sub>
              <m:r>
                <w:rPr>
                  <w:rFonts w:ascii="Cambria Math" w:hAnsi="Cambria Math"/>
                </w:rPr>
                <m:t>corto</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r>
                    <m:rPr>
                      <m:sty m:val="p"/>
                    </m:rPr>
                    <w:rPr>
                      <w:rFonts w:ascii="Cambria Math" w:hAnsi="Cambria Math"/>
                    </w:rPr>
                    <m:t>-3.5</m:t>
                  </m:r>
                </m:num>
                <m:den>
                  <m:r>
                    <m:rPr>
                      <m:sty m:val="p"/>
                    </m:rPr>
                    <w:rPr>
                      <w:rFonts w:ascii="Cambria Math" w:hAnsi="Cambria Math"/>
                    </w:rPr>
                    <m:t>4</m:t>
                  </m:r>
                </m:den>
              </m:f>
            </m:sup>
          </m:sSup>
          <m:r>
            <m:rPr>
              <m:sty m:val="p"/>
            </m:rPr>
            <w:rPr>
              <w:rFonts w:ascii="Cambria Math" w:eastAsiaTheme="minorEastAsia" w:hAnsi="Cambria Math"/>
            </w:rPr>
            <m:t>=0.417</m:t>
          </m:r>
        </m:oMath>
      </m:oMathPara>
    </w:p>
    <w:p w14:paraId="477F36BA" w14:textId="0DE19D2B" w:rsidR="00B335B9" w:rsidRPr="00D933D6" w:rsidRDefault="00B335B9" w:rsidP="00A75EBC">
      <w:pPr>
        <w:pStyle w:val="Prrafodelista"/>
      </w:pPr>
    </w:p>
    <w:p w14:paraId="3F1B8246" w14:textId="0304F91B" w:rsidR="00C63FD3" w:rsidRPr="00A93CEF" w:rsidRDefault="00573C72" w:rsidP="0046263A">
      <w:pPr>
        <w:ind w:left="284"/>
      </w:pPr>
      <w:r w:rsidRPr="00A93CEF">
        <w:t xml:space="preserve">Este resultado se </w:t>
      </w:r>
      <w:r w:rsidR="00C63FD3" w:rsidRPr="00A93CEF">
        <w:t xml:space="preserve">multiplica por el valor de la perturbación de la tasa de interés </w:t>
      </w:r>
      <w:r w:rsidR="0074165A" w:rsidRPr="00A93CEF">
        <w:t>de</w:t>
      </w:r>
      <w:r w:rsidR="00C63FD3" w:rsidRPr="00A93CEF">
        <w:t xml:space="preserve"> corto plazo para obtener el monto que </w:t>
      </w:r>
      <w:r w:rsidR="00DE7273" w:rsidRPr="00A93CEF">
        <w:t xml:space="preserve">desplazará hacia arriba o </w:t>
      </w:r>
      <w:r w:rsidR="006E1AA1">
        <w:t xml:space="preserve">hacia </w:t>
      </w:r>
      <w:r w:rsidR="00DE7273" w:rsidRPr="00A93CEF">
        <w:t>abajo</w:t>
      </w:r>
      <w:r w:rsidR="00C63FD3" w:rsidRPr="00A93CEF">
        <w:t xml:space="preserve"> la curva de rendimiento</w:t>
      </w:r>
      <w:r w:rsidR="006E1AA1">
        <w:t>s</w:t>
      </w:r>
      <w:r w:rsidR="00C63FD3" w:rsidRPr="00A93CEF">
        <w:t xml:space="preserve"> en ese </w:t>
      </w:r>
      <w:r w:rsidR="00751764" w:rsidRPr="00A93CEF">
        <w:t>nodo</w:t>
      </w:r>
      <w:r w:rsidR="00C63FD3" w:rsidRPr="00A93CEF">
        <w:t>.</w:t>
      </w:r>
      <w:r w:rsidR="00C63FD3" w:rsidRPr="0046263A">
        <w:rPr>
          <w:sz w:val="20"/>
          <w:szCs w:val="20"/>
        </w:rPr>
        <w:t xml:space="preserve"> </w:t>
      </w:r>
      <w:r w:rsidR="00C63FD3" w:rsidRPr="00A93CEF">
        <w:t xml:space="preserve">Si el choque de las tasas cortas fuera de +100 pb, el aumento de la curva de rendimiento en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C63FD3" w:rsidRPr="00A93CEF">
        <w:t xml:space="preserve"> = 3.5 años sería de 41.7 pb.</w:t>
      </w:r>
    </w:p>
    <w:p w14:paraId="123EA2AB" w14:textId="5C571B9F" w:rsidR="005252EE" w:rsidRPr="00A93CEF" w:rsidRDefault="005252EE" w:rsidP="00A75EBC">
      <w:pPr>
        <w:pStyle w:val="Prrafodelista"/>
      </w:pPr>
    </w:p>
    <w:p w14:paraId="6E167D24" w14:textId="662D0723" w:rsidR="00A552DF" w:rsidRPr="006E1AA1" w:rsidRDefault="00C63FD3" w:rsidP="00B047AC">
      <w:pPr>
        <w:pStyle w:val="Prrafodelista"/>
        <w:numPr>
          <w:ilvl w:val="0"/>
          <w:numId w:val="17"/>
        </w:numPr>
        <w:ind w:left="284" w:hanging="284"/>
      </w:pPr>
      <w:r w:rsidRPr="00F94CD4">
        <w:t>Inclinación de la pendiente:</w:t>
      </w:r>
      <w:r w:rsidRPr="00A93CEF">
        <w:t xml:space="preserve"> </w:t>
      </w:r>
      <w:r w:rsidR="00EB1882" w:rsidRPr="00A93CEF">
        <w:t xml:space="preserve">Suponiendo </w:t>
      </w:r>
      <w:r w:rsidRPr="00A93CEF">
        <w:t xml:space="preserve">el mismo punto en la curva de rendimiento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A93CEF">
        <w:t xml:space="preserve"> = 3.5 años. Si el valor absoluto de la perturbación de la tasa </w:t>
      </w:r>
      <w:r w:rsidR="00830BAD" w:rsidRPr="00A93CEF">
        <w:t xml:space="preserve">de </w:t>
      </w:r>
      <w:r w:rsidRPr="00A93CEF">
        <w:t>cort</w:t>
      </w:r>
      <w:r w:rsidR="00830BAD" w:rsidRPr="00A93CEF">
        <w:t>o pl</w:t>
      </w:r>
      <w:r w:rsidRPr="00A93CEF">
        <w:t>a</w:t>
      </w:r>
      <w:r w:rsidR="00830BAD" w:rsidRPr="00A93CEF">
        <w:t>zo</w:t>
      </w:r>
      <w:r w:rsidRPr="00A93CEF">
        <w:t xml:space="preserve"> e</w:t>
      </w:r>
      <w:r w:rsidR="00830BAD" w:rsidRPr="00A93CEF">
        <w:t>s</w:t>
      </w:r>
      <w:r w:rsidRPr="00A93CEF">
        <w:t xml:space="preserve"> de 100pb y el valor absoluto de la perturbación de la tasa </w:t>
      </w:r>
      <w:r w:rsidR="00887120" w:rsidRPr="00A93CEF">
        <w:t xml:space="preserve">de </w:t>
      </w:r>
      <w:r w:rsidRPr="00A93CEF">
        <w:t>larg</w:t>
      </w:r>
      <w:r w:rsidR="00887120" w:rsidRPr="00A93CEF">
        <w:t xml:space="preserve">o plazo </w:t>
      </w:r>
      <w:r w:rsidRPr="00A93CEF">
        <w:t>e</w:t>
      </w:r>
      <w:r w:rsidR="00887120" w:rsidRPr="00A93CEF">
        <w:t>s</w:t>
      </w:r>
      <w:r w:rsidRPr="00A93CEF">
        <w:t xml:space="preserve"> de 100pb, el cambio en la curva de rendimiento en </w:t>
      </w:r>
      <w:r w:rsidR="00AE4FF2" w:rsidRPr="00A93CEF">
        <w:t xml:space="preserve">dicho nodo </w:t>
      </w:r>
      <w:r w:rsidRPr="00A93CEF">
        <w:t>sería la suma del efecto del choque de la tasa</w:t>
      </w:r>
      <w:r w:rsidR="00214D9E" w:rsidRPr="00A93CEF">
        <w:t xml:space="preserve"> de corto plazo</w:t>
      </w:r>
      <w:r w:rsidRPr="00A93CEF">
        <w:t xml:space="preserve"> más el efecto del choque de</w:t>
      </w:r>
      <w:r w:rsidR="00214D9E" w:rsidRPr="00A93CEF">
        <w:t xml:space="preserve"> la tasa de largo plazo</w:t>
      </w:r>
      <m:oMath>
        <m:r>
          <m:rPr>
            <m:sty m:val="p"/>
          </m:rPr>
          <w:rPr>
            <w:rFonts w:ascii="Cambria Math" w:hAnsi="Cambria Math"/>
          </w:rPr>
          <m:t xml:space="preserve">, </m:t>
        </m:r>
        <m:r>
          <w:rPr>
            <w:rFonts w:ascii="Cambria Math" w:hAnsi="Cambria Math"/>
          </w:rPr>
          <m:t>as</m:t>
        </m:r>
        <m:r>
          <m:rPr>
            <m:sty m:val="p"/>
          </m:rPr>
          <w:rPr>
            <w:rFonts w:ascii="Cambria Math" w:hAnsi="Cambria Math"/>
          </w:rPr>
          <m:t>í:</m:t>
        </m:r>
      </m:oMath>
    </w:p>
    <w:p w14:paraId="14F45678" w14:textId="77777777" w:rsidR="00A552DF" w:rsidRPr="00A93CEF" w:rsidRDefault="00A552DF" w:rsidP="00A75EBC">
      <w:pPr>
        <w:pStyle w:val="Prrafodelista"/>
      </w:pPr>
    </w:p>
    <w:p w14:paraId="1D619E9C" w14:textId="72235A95" w:rsidR="00C63FD3" w:rsidRPr="00A93CEF" w:rsidRDefault="00E41B2D" w:rsidP="00A75EBC">
      <w:pPr>
        <w:pStyle w:val="Prrafodelista"/>
      </w:pPr>
      <m:oMathPara>
        <m:oMath>
          <m:d>
            <m:dPr>
              <m:begChr m:val="["/>
              <m:endChr m:val="]"/>
              <m:ctrlPr>
                <w:rPr>
                  <w:rFonts w:ascii="Cambria Math" w:hAnsi="Cambria Math"/>
                </w:rPr>
              </m:ctrlPr>
            </m:dPr>
            <m:e>
              <m:r>
                <m:rPr>
                  <m:sty m:val="p"/>
                </m:rPr>
                <w:rPr>
                  <w:rFonts w:ascii="Cambria Math" w:hAnsi="Cambria Math"/>
                </w:rPr>
                <m:t xml:space="preserve">-0.65 * 100 </m:t>
              </m:r>
              <m:r>
                <w:rPr>
                  <w:rFonts w:ascii="Cambria Math" w:hAnsi="Cambria Math"/>
                </w:rPr>
                <m:t>pb</m:t>
              </m:r>
              <m:r>
                <m:rPr>
                  <m:sty m:val="p"/>
                </m:rPr>
                <w:rPr>
                  <w:rFonts w:ascii="Cambria Math" w:hAnsi="Cambria Math"/>
                </w:rPr>
                <m:t xml:space="preserve"> * 0.417</m:t>
              </m:r>
            </m:e>
          </m:d>
          <m:r>
            <m:rPr>
              <m:sty m:val="p"/>
            </m:rPr>
            <w:rPr>
              <w:rFonts w:ascii="Cambria Math" w:hAnsi="Cambria Math"/>
            </w:rPr>
            <m:t xml:space="preserve">+[0.9 * 100 </m:t>
          </m:r>
          <m:r>
            <w:rPr>
              <w:rFonts w:ascii="Cambria Math" w:hAnsi="Cambria Math"/>
            </w:rPr>
            <m:t>pb</m:t>
          </m:r>
          <m:r>
            <m:rPr>
              <m:sty m:val="p"/>
            </m:rPr>
            <w:rPr>
              <w:rFonts w:ascii="Cambria Math" w:hAnsi="Cambria Math"/>
            </w:rPr>
            <m:t xml:space="preserve"> * </m:t>
          </m:r>
          <m:d>
            <m:dPr>
              <m:ctrlPr>
                <w:rPr>
                  <w:rFonts w:ascii="Cambria Math" w:hAnsi="Cambria Math"/>
                </w:rPr>
              </m:ctrlPr>
            </m:dPr>
            <m:e>
              <m:r>
                <m:rPr>
                  <m:sty m:val="p"/>
                </m:rPr>
                <w:rPr>
                  <w:rFonts w:ascii="Cambria Math" w:hAnsi="Cambria Math"/>
                </w:rPr>
                <m:t>1-0.417</m:t>
              </m:r>
            </m:e>
          </m:d>
          <m:r>
            <m:rPr>
              <m:sty m:val="p"/>
            </m:rPr>
            <w:rPr>
              <w:rFonts w:ascii="Cambria Math" w:hAnsi="Cambria Math"/>
            </w:rPr>
            <m:t xml:space="preserve">] =  25.4 </m:t>
          </m:r>
          <m:r>
            <w:rPr>
              <w:rFonts w:ascii="Cambria Math" w:hAnsi="Cambria Math"/>
            </w:rPr>
            <m:t>pb</m:t>
          </m:r>
        </m:oMath>
      </m:oMathPara>
    </w:p>
    <w:p w14:paraId="73ECE8FE" w14:textId="77777777" w:rsidR="00A552DF" w:rsidRPr="00A93CEF" w:rsidRDefault="00A552DF" w:rsidP="00A75EBC">
      <w:pPr>
        <w:pStyle w:val="Prrafodelista"/>
      </w:pPr>
    </w:p>
    <w:p w14:paraId="249BDC01" w14:textId="743FF9A0" w:rsidR="00B335B9" w:rsidRPr="00A93CEF" w:rsidRDefault="00C63FD3" w:rsidP="00B047AC">
      <w:pPr>
        <w:pStyle w:val="Prrafodelista"/>
        <w:numPr>
          <w:ilvl w:val="0"/>
          <w:numId w:val="17"/>
        </w:numPr>
        <w:ind w:left="284" w:hanging="284"/>
      </w:pPr>
      <w:r w:rsidRPr="00F94CD4">
        <w:t>Aplanamiento de la pendiente:</w:t>
      </w:r>
      <w:r w:rsidRPr="00A93CEF">
        <w:t xml:space="preserve"> </w:t>
      </w:r>
      <w:r w:rsidR="00F11388" w:rsidRPr="00A93CEF">
        <w:t>P</w:t>
      </w:r>
      <w:r w:rsidRPr="00A93CEF">
        <w:t xml:space="preserve">ara los choques </w:t>
      </w:r>
      <w:r w:rsidR="006E1AA1">
        <w:t>d</w:t>
      </w:r>
      <w:r w:rsidRPr="00A93CEF">
        <w:t xml:space="preserve">el ejemplo anterior en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A93CEF">
        <w:t>= 3.5 años</w:t>
      </w:r>
      <w:r w:rsidR="006E1AA1">
        <w:t>,</w:t>
      </w:r>
      <w:r w:rsidRPr="00A93CEF">
        <w:t xml:space="preserve"> sería:</w:t>
      </w:r>
    </w:p>
    <w:p w14:paraId="4AE23A64" w14:textId="4AE58A1D" w:rsidR="00B335B9" w:rsidRPr="00A93CEF" w:rsidRDefault="00B335B9" w:rsidP="00A75EBC">
      <w:pPr>
        <w:pStyle w:val="Prrafodelista"/>
      </w:pPr>
    </w:p>
    <w:p w14:paraId="13938D57" w14:textId="63E6DB5A" w:rsidR="00912782" w:rsidRPr="00A93CEF" w:rsidRDefault="00E41B2D" w:rsidP="00A75EBC">
      <w:pPr>
        <w:pStyle w:val="Prrafodelista"/>
      </w:pPr>
      <m:oMathPara>
        <m:oMath>
          <m:d>
            <m:dPr>
              <m:begChr m:val="["/>
              <m:endChr m:val="]"/>
              <m:ctrlPr>
                <w:rPr>
                  <w:rFonts w:ascii="Cambria Math" w:hAnsi="Cambria Math"/>
                </w:rPr>
              </m:ctrlPr>
            </m:dPr>
            <m:e>
              <m:r>
                <m:rPr>
                  <m:sty m:val="p"/>
                </m:rPr>
                <w:rPr>
                  <w:rFonts w:ascii="Cambria Math" w:hAnsi="Cambria Math"/>
                </w:rPr>
                <m:t xml:space="preserve">0.8 * 100 </m:t>
              </m:r>
              <m:r>
                <w:rPr>
                  <w:rFonts w:ascii="Cambria Math" w:hAnsi="Cambria Math"/>
                </w:rPr>
                <m:t>pb</m:t>
              </m:r>
              <m:r>
                <m:rPr>
                  <m:sty m:val="p"/>
                </m:rPr>
                <w:rPr>
                  <w:rFonts w:ascii="Cambria Math" w:hAnsi="Cambria Math"/>
                </w:rPr>
                <m:t>* 0.417</m:t>
              </m:r>
            </m:e>
          </m:d>
          <m:r>
            <m:rPr>
              <m:sty m:val="p"/>
            </m:rPr>
            <w:rPr>
              <w:rFonts w:ascii="Cambria Math" w:hAnsi="Cambria Math"/>
            </w:rPr>
            <m:t xml:space="preserve">–[0.6* 100 </m:t>
          </m:r>
          <m:r>
            <w:rPr>
              <w:rFonts w:ascii="Cambria Math" w:hAnsi="Cambria Math"/>
            </w:rPr>
            <m:t>pb</m:t>
          </m:r>
          <m:r>
            <m:rPr>
              <m:sty m:val="p"/>
            </m:rPr>
            <w:rPr>
              <w:rFonts w:ascii="Cambria Math" w:hAnsi="Cambria Math"/>
            </w:rPr>
            <m:t xml:space="preserve">* </m:t>
          </m:r>
          <m:d>
            <m:dPr>
              <m:ctrlPr>
                <w:rPr>
                  <w:rFonts w:ascii="Cambria Math" w:hAnsi="Cambria Math"/>
                </w:rPr>
              </m:ctrlPr>
            </m:dPr>
            <m:e>
              <m:r>
                <m:rPr>
                  <m:sty m:val="p"/>
                </m:rPr>
                <w:rPr>
                  <w:rFonts w:ascii="Cambria Math" w:hAnsi="Cambria Math"/>
                </w:rPr>
                <m:t>1-0.417</m:t>
              </m:r>
            </m:e>
          </m:d>
          <m:r>
            <m:rPr>
              <m:sty m:val="p"/>
            </m:rPr>
            <w:rPr>
              <w:rFonts w:ascii="Cambria Math" w:hAnsi="Cambria Math"/>
            </w:rPr>
            <m:t xml:space="preserve">] = -1.6 </m:t>
          </m:r>
          <m:r>
            <w:rPr>
              <w:rFonts w:ascii="Cambria Math" w:hAnsi="Cambria Math"/>
            </w:rPr>
            <m:t>pb</m:t>
          </m:r>
        </m:oMath>
      </m:oMathPara>
    </w:p>
    <w:p w14:paraId="77B0620F" w14:textId="77777777" w:rsidR="002E6C18" w:rsidRDefault="002E6C18" w:rsidP="00A75EBC"/>
    <w:p w14:paraId="7E7293D8" w14:textId="6EAADF12" w:rsidR="00912782" w:rsidRDefault="00716DDD" w:rsidP="00A75EBC">
      <w:r w:rsidRPr="00A93CEF">
        <w:t>Después de computar los seis escenarios de los choques a la curva de rendimientos</w:t>
      </w:r>
      <w:r w:rsidR="00F01B7B" w:rsidRPr="00A93CEF">
        <w:t>,</w:t>
      </w:r>
      <w:r w:rsidRPr="00A93CEF">
        <w:t xml:space="preserve"> se </w:t>
      </w:r>
      <w:r w:rsidR="00F7463D">
        <w:t xml:space="preserve">debe determinar </w:t>
      </w:r>
      <w:r w:rsidRPr="00A93CEF">
        <w:t xml:space="preserve">el VEP para cada uno de </w:t>
      </w:r>
      <w:r w:rsidR="00BC5FAB" w:rsidRPr="00A93CEF">
        <w:t>é</w:t>
      </w:r>
      <w:r w:rsidRPr="00A93CEF">
        <w:t xml:space="preserve">stos y se </w:t>
      </w:r>
      <w:r w:rsidR="00F7463D">
        <w:t xml:space="preserve">calcula la </w:t>
      </w:r>
      <w:r w:rsidRPr="00A93CEF">
        <w:t xml:space="preserve">diferencia frente al </w:t>
      </w:r>
      <w:r w:rsidRPr="008D7114">
        <w:t xml:space="preserve">escenario base. De acuerdo con lo señalado en </w:t>
      </w:r>
      <w:r w:rsidR="00475D00">
        <w:t xml:space="preserve">el </w:t>
      </w:r>
      <w:proofErr w:type="spellStart"/>
      <w:r w:rsidR="00691BE9">
        <w:t>sub</w:t>
      </w:r>
      <w:r w:rsidR="00475D00">
        <w:t>numeral</w:t>
      </w:r>
      <w:proofErr w:type="spellEnd"/>
      <w:r w:rsidR="00691BE9">
        <w:t xml:space="preserve"> </w:t>
      </w:r>
      <w:r w:rsidR="00702B38" w:rsidRPr="008D7114">
        <w:t>2.5, este</w:t>
      </w:r>
      <w:r w:rsidR="00D453FC" w:rsidRPr="008D7114">
        <w:t xml:space="preserve"> valor </w:t>
      </w:r>
      <w:r w:rsidR="006E1AA1">
        <w:t>será</w:t>
      </w:r>
      <w:r w:rsidRPr="008D7114">
        <w:t xml:space="preserve"> el máximo entre cero y el</w:t>
      </w:r>
      <w:r w:rsidR="00EA75AA" w:rsidRPr="008D7114">
        <w:t xml:space="preserve"> valor de los</w:t>
      </w:r>
      <w:r w:rsidRPr="008D7114">
        <w:t xml:space="preserve"> cambio</w:t>
      </w:r>
      <w:r w:rsidR="00DA084E" w:rsidRPr="008D7114">
        <w:t>s</w:t>
      </w:r>
      <w:r w:rsidRPr="00A93CEF">
        <w:t xml:space="preserve"> del VEP de los distintos </w:t>
      </w:r>
      <w:r w:rsidR="00EA75AA" w:rsidRPr="00A93CEF">
        <w:t>escenarios</w:t>
      </w:r>
      <w:r w:rsidRPr="00A93CEF">
        <w:t>.</w:t>
      </w:r>
    </w:p>
    <w:p w14:paraId="00AD46C4" w14:textId="77777777" w:rsidR="002E6C18" w:rsidRDefault="002E6C18" w:rsidP="00A75EBC"/>
    <w:p w14:paraId="7FE835DA" w14:textId="34EE0840" w:rsidR="001A7905" w:rsidRDefault="00F7463D" w:rsidP="00A75EBC">
      <w:r>
        <w:t>La información d</w:t>
      </w:r>
      <w:r w:rsidR="001E16EB">
        <w:t>el impacto máximo y por escenarios de los choques de tasa de interés para el VEP y el MNI</w:t>
      </w:r>
      <w:r w:rsidR="0022635D">
        <w:t xml:space="preserve"> </w:t>
      </w:r>
      <w:r>
        <w:t xml:space="preserve">se </w:t>
      </w:r>
      <w:r w:rsidR="001A7905">
        <w:t>debe reporta</w:t>
      </w:r>
      <w:r>
        <w:t xml:space="preserve">r </w:t>
      </w:r>
      <w:r w:rsidR="001A7905">
        <w:t xml:space="preserve">en </w:t>
      </w:r>
      <w:r w:rsidR="00A507C9">
        <w:t xml:space="preserve">el </w:t>
      </w:r>
      <w:r w:rsidR="001364D5">
        <w:t>Formato</w:t>
      </w:r>
      <w:r w:rsidR="001A7905">
        <w:t xml:space="preserve"> </w:t>
      </w:r>
      <w:r w:rsidR="007B7F23" w:rsidRPr="003E71E5">
        <w:t>F1000-</w:t>
      </w:r>
      <w:r w:rsidR="003E71E5" w:rsidRPr="6C116A07">
        <w:t xml:space="preserve">- XX formato XXX </w:t>
      </w:r>
      <w:r w:rsidR="003E71E5" w:rsidRPr="002E42A8">
        <w:t xml:space="preserve">Escenarios </w:t>
      </w:r>
      <w:r w:rsidR="003E71E5" w:rsidRPr="6C116A07">
        <w:t xml:space="preserve">de choques de </w:t>
      </w:r>
      <w:r w:rsidR="003E71E5" w:rsidRPr="002E42A8">
        <w:t>tasa</w:t>
      </w:r>
      <w:r w:rsidR="003E71E5" w:rsidRPr="6C116A07">
        <w:t xml:space="preserve"> de interés para el </w:t>
      </w:r>
      <w:r w:rsidR="003E71E5" w:rsidRPr="002E42A8">
        <w:t>Valor Económico del Patrimonio (</w:t>
      </w:r>
      <w:r w:rsidR="003E71E5" w:rsidRPr="6C116A07">
        <w:t>VEP</w:t>
      </w:r>
      <w:r w:rsidR="003E71E5" w:rsidRPr="002E42A8">
        <w:t>)</w:t>
      </w:r>
      <w:r w:rsidR="003E71E5" w:rsidRPr="6C116A07">
        <w:t xml:space="preserve"> y el </w:t>
      </w:r>
      <w:r w:rsidR="003E71E5">
        <w:t>Margen Neto de Intereses (</w:t>
      </w:r>
      <w:r w:rsidR="003E71E5" w:rsidRPr="6C116A07">
        <w:t>MNI</w:t>
      </w:r>
      <w:r w:rsidR="003E71E5">
        <w:rPr>
          <w:szCs w:val="24"/>
        </w:rPr>
        <w:t>)</w:t>
      </w:r>
      <w:r w:rsidR="003E71E5" w:rsidRPr="6C116A07">
        <w:t>.</w:t>
      </w:r>
    </w:p>
    <w:p w14:paraId="681FF602" w14:textId="0FBF8889" w:rsidR="002E6C18" w:rsidRPr="00A93CEF" w:rsidRDefault="002E6C18" w:rsidP="00A75EBC"/>
    <w:p w14:paraId="319183D4" w14:textId="5D606A01" w:rsidR="000B529E" w:rsidRDefault="00B76809" w:rsidP="00B81B30">
      <w:pPr>
        <w:pStyle w:val="Ttulo1"/>
        <w:numPr>
          <w:ilvl w:val="0"/>
          <w:numId w:val="14"/>
        </w:numPr>
      </w:pPr>
      <w:bookmarkStart w:id="12" w:name="_Toc83387388"/>
      <w:bookmarkStart w:id="13" w:name="_Toc85033790"/>
      <w:bookmarkStart w:id="14" w:name="_Toc89764113"/>
      <w:r w:rsidRPr="00631DD5">
        <w:t xml:space="preserve">Aspectos relevantes </w:t>
      </w:r>
      <w:r w:rsidR="004A4C2B" w:rsidRPr="00631DD5">
        <w:t xml:space="preserve">de la metodología </w:t>
      </w:r>
      <w:r w:rsidR="00E26B17" w:rsidRPr="00631DD5">
        <w:t>est</w:t>
      </w:r>
      <w:r w:rsidR="004A4C2B" w:rsidRPr="00631DD5">
        <w:t>á</w:t>
      </w:r>
      <w:r w:rsidR="00E26B17" w:rsidRPr="00631DD5">
        <w:t>nd</w:t>
      </w:r>
      <w:bookmarkEnd w:id="12"/>
      <w:bookmarkEnd w:id="13"/>
      <w:r w:rsidR="004A4C2B" w:rsidRPr="00631DD5">
        <w:t>ar del RTILB</w:t>
      </w:r>
      <w:bookmarkEnd w:id="14"/>
    </w:p>
    <w:p w14:paraId="75B2FFC6" w14:textId="69F8FF42" w:rsidR="00564C03" w:rsidRDefault="00564C03" w:rsidP="007C7798">
      <w:pPr>
        <w:pStyle w:val="Sinespaciado"/>
      </w:pPr>
    </w:p>
    <w:p w14:paraId="581EB71B" w14:textId="2A397FF6" w:rsidR="00645C6F" w:rsidRDefault="00083336" w:rsidP="00A75EBC">
      <w:pPr>
        <w:pStyle w:val="Ttulo1"/>
      </w:pPr>
      <w:r w:rsidRPr="00F51CAA">
        <w:t xml:space="preserve">Productos sujetos a opcionalidad </w:t>
      </w:r>
    </w:p>
    <w:p w14:paraId="12C5A2A6" w14:textId="0C45BF6C" w:rsidR="008D7114" w:rsidRDefault="008D7114" w:rsidP="007C7798">
      <w:pPr>
        <w:pStyle w:val="Sinespaciado"/>
      </w:pPr>
    </w:p>
    <w:p w14:paraId="2D7A055E" w14:textId="58B1A0E6" w:rsidR="00F04E87" w:rsidRDefault="00F7463D" w:rsidP="007C7798">
      <w:pPr>
        <w:pStyle w:val="Sinespaciado"/>
      </w:pPr>
      <w:r>
        <w:t xml:space="preserve">Para calcular </w:t>
      </w:r>
      <w:r w:rsidR="007B7F23">
        <w:t>la exposición al RTILB</w:t>
      </w:r>
      <w:r w:rsidR="000854CE" w:rsidRPr="00F51CAA">
        <w:t xml:space="preserve"> la entidad debe realizar </w:t>
      </w:r>
      <w:r>
        <w:t>el análisis de los productos y exposiciones sujetos al riesgo de opcionalidad</w:t>
      </w:r>
      <w:r w:rsidR="002E31D3">
        <w:t>. A</w:t>
      </w:r>
      <w:r>
        <w:t xml:space="preserve"> </w:t>
      </w:r>
      <w:r w:rsidR="008503B8">
        <w:t>continuación,</w:t>
      </w:r>
      <w:r>
        <w:t xml:space="preserve"> se citan </w:t>
      </w:r>
      <w:r w:rsidR="00F04E87" w:rsidRPr="00842482">
        <w:t>algunos de estos productos</w:t>
      </w:r>
      <w:r w:rsidR="00F51CAA">
        <w:t>.</w:t>
      </w:r>
    </w:p>
    <w:p w14:paraId="7FCC644F" w14:textId="49F8887A" w:rsidR="002E6C18" w:rsidRPr="00842482" w:rsidRDefault="002E6C18" w:rsidP="007C7798">
      <w:pPr>
        <w:pStyle w:val="Sinespaciado"/>
      </w:pPr>
    </w:p>
    <w:p w14:paraId="3D2CC08A" w14:textId="711DE381" w:rsidR="00F04E87" w:rsidRDefault="00F04E87" w:rsidP="00A75EBC">
      <w:r w:rsidRPr="0015080A">
        <w:rPr>
          <w:u w:val="single"/>
        </w:rPr>
        <w:t>Préstamos a tasa fija sujetos a riesgo de pago anticipado:</w:t>
      </w:r>
      <w:r w:rsidRPr="00842482">
        <w:t xml:space="preserve"> La entidad debe realizar estimaciones razonables y prudentes de los pagos esperados y de la velocidad promedio de éstos, y documentar los supuestos que las sustentan. Cuando las características contractuales afectan materialmente la opcionalidad implícita,</w:t>
      </w:r>
      <w:r w:rsidR="003E770A">
        <w:t xml:space="preserve"> </w:t>
      </w:r>
      <w:r w:rsidRPr="00842482">
        <w:t xml:space="preserve">como, por ejemplo, los préstamos a tasa fija con opción de prepago, </w:t>
      </w:r>
      <w:r w:rsidR="003E770A">
        <w:t>es necesario que la entidad</w:t>
      </w:r>
      <w:r w:rsidR="003E770A" w:rsidRPr="00842482">
        <w:t xml:space="preserve"> </w:t>
      </w:r>
      <w:r w:rsidR="003E770A">
        <w:t>determine</w:t>
      </w:r>
      <w:r w:rsidRPr="00842482">
        <w:t xml:space="preserve"> el efecto de cada choque y escenario de estrés sobre la velocidad promedio de prepago.</w:t>
      </w:r>
    </w:p>
    <w:p w14:paraId="7E9AB6F7" w14:textId="77777777" w:rsidR="002E6C18" w:rsidRPr="00842482" w:rsidRDefault="002E6C18" w:rsidP="00A75EBC"/>
    <w:p w14:paraId="78E33C5B" w14:textId="3FA76957" w:rsidR="00F04E87" w:rsidRDefault="00F04E87" w:rsidP="00A75EBC">
      <w:r w:rsidRPr="0015080A">
        <w:rPr>
          <w:u w:val="single"/>
        </w:rPr>
        <w:t>Compromisos de préstamos a tasa fija:</w:t>
      </w:r>
      <w:r w:rsidRPr="00842482">
        <w:t xml:space="preserve"> </w:t>
      </w:r>
      <w:r w:rsidR="003E770A">
        <w:t xml:space="preserve">La entidad debe identificar y cuantificar el impacto en este riesgo de los </w:t>
      </w:r>
      <w:r w:rsidR="00FE0CA5">
        <w:t>diferentes tipos de opciones</w:t>
      </w:r>
      <w:r w:rsidR="00032773">
        <w:t xml:space="preserve"> de los compromisos de préstamos</w:t>
      </w:r>
      <w:r w:rsidR="00E94452">
        <w:t xml:space="preserve">. Algunos de los casos de compromisos de préstamos a tasa fija que generan RTILB pueden ser: i) </w:t>
      </w:r>
      <w:r w:rsidRPr="00842482">
        <w:t xml:space="preserve">vender </w:t>
      </w:r>
      <w:r w:rsidR="00FE0CA5">
        <w:t xml:space="preserve">o aprobar </w:t>
      </w:r>
      <w:r w:rsidRPr="00842482">
        <w:t xml:space="preserve">opciones a </w:t>
      </w:r>
      <w:r w:rsidR="00FE0CA5">
        <w:t xml:space="preserve">los </w:t>
      </w:r>
      <w:r w:rsidRPr="00842482">
        <w:t xml:space="preserve">clientes </w:t>
      </w:r>
      <w:r w:rsidR="00FE0CA5">
        <w:t xml:space="preserve">minoristas </w:t>
      </w:r>
      <w:r w:rsidRPr="00842482">
        <w:t xml:space="preserve">mediante las cuales, durante un período limitado, </w:t>
      </w:r>
      <w:r w:rsidR="00FE0CA5">
        <w:t>éstos</w:t>
      </w:r>
      <w:r w:rsidRPr="00842482">
        <w:t xml:space="preserve"> pued</w:t>
      </w:r>
      <w:r w:rsidR="00AC12F9">
        <w:t>a</w:t>
      </w:r>
      <w:r w:rsidRPr="00842482">
        <w:t>n optar por retirar un préstamo a una tasa establecida</w:t>
      </w:r>
      <w:r w:rsidR="00AC12F9">
        <w:t xml:space="preserve">; </w:t>
      </w:r>
      <w:proofErr w:type="spellStart"/>
      <w:r w:rsidR="00E94452">
        <w:t>ii</w:t>
      </w:r>
      <w:proofErr w:type="spellEnd"/>
      <w:r w:rsidR="00E94452">
        <w:t>) aprobación</w:t>
      </w:r>
      <w:r w:rsidR="00032773">
        <w:t xml:space="preserve"> de</w:t>
      </w:r>
      <w:r w:rsidR="00AC12F9">
        <w:t xml:space="preserve"> c</w:t>
      </w:r>
      <w:r w:rsidRPr="00842482">
        <w:t>ompromisos de préstamos con empresas, donde las disposiciones reflejan en gran medida las características de las opciones automáticas de tasas de interés</w:t>
      </w:r>
      <w:r w:rsidR="00032773">
        <w:t xml:space="preserve">, así como de </w:t>
      </w:r>
      <w:r w:rsidRPr="00842482">
        <w:t xml:space="preserve">los compromisos </w:t>
      </w:r>
      <w:r w:rsidR="00032773">
        <w:t xml:space="preserve">de préstamos </w:t>
      </w:r>
      <w:r w:rsidRPr="00842482">
        <w:t xml:space="preserve">hipotecarios </w:t>
      </w:r>
      <w:r w:rsidR="00032773">
        <w:t xml:space="preserve">de vivienda </w:t>
      </w:r>
      <w:r w:rsidRPr="00842482">
        <w:t>con clientes minoristas que se ven afectados por otros factores.</w:t>
      </w:r>
    </w:p>
    <w:p w14:paraId="534E3804" w14:textId="77777777" w:rsidR="002E6C18" w:rsidRPr="00842482" w:rsidRDefault="002E6C18" w:rsidP="00A75EBC"/>
    <w:p w14:paraId="408F612D" w14:textId="5E6A5365" w:rsidR="00F04E87" w:rsidRDefault="00F04E87" w:rsidP="00A75EBC">
      <w:r w:rsidRPr="00034177">
        <w:rPr>
          <w:u w:val="single"/>
        </w:rPr>
        <w:t>Depósitos a plazo sujetos a riesgo de retiro anticipado:</w:t>
      </w:r>
      <w:r w:rsidRPr="00034177">
        <w:t xml:space="preserve"> </w:t>
      </w:r>
      <w:r w:rsidR="00034177">
        <w:t>Cuando l</w:t>
      </w:r>
      <w:r w:rsidRPr="00034177">
        <w:t xml:space="preserve">a entidad </w:t>
      </w:r>
      <w:r w:rsidR="00160CA8">
        <w:t>en una jurisdicción internacional cuente con operaciones pasivas a término y</w:t>
      </w:r>
      <w:r w:rsidRPr="00034177">
        <w:t xml:space="preserve"> cláusulas progresivas que permitan al depositante en diferentes periodos de tiempo modificar la velocidad de retiro</w:t>
      </w:r>
      <w:r w:rsidR="00F74A49">
        <w:t>,</w:t>
      </w:r>
      <w:r w:rsidRPr="00034177">
        <w:t xml:space="preserve"> debe documentar un esquema de clasificación, ya sea que se considere una operación a plazo sujeta a sanciones por reembolso u otras características contractuales que preservan o amplían el perfil de</w:t>
      </w:r>
      <w:r w:rsidR="00C72908">
        <w:t>l</w:t>
      </w:r>
      <w:r w:rsidRPr="00034177">
        <w:t xml:space="preserve"> flujo de efectivo del instrumento.</w:t>
      </w:r>
    </w:p>
    <w:p w14:paraId="5DE2ED03" w14:textId="1A44AD1E" w:rsidR="002E6C18" w:rsidRPr="00842482" w:rsidRDefault="002E6C18" w:rsidP="00A75EBC"/>
    <w:p w14:paraId="578FC766" w14:textId="4D69E4EB" w:rsidR="00F04E87" w:rsidRDefault="00F04E87" w:rsidP="00A75EBC">
      <w:r w:rsidRPr="0015080A">
        <w:rPr>
          <w:u w:val="single"/>
        </w:rPr>
        <w:t>Depósitos sin vencimiento (Non-</w:t>
      </w:r>
      <w:proofErr w:type="spellStart"/>
      <w:r w:rsidRPr="0015080A">
        <w:rPr>
          <w:u w:val="single"/>
        </w:rPr>
        <w:t>Maturity</w:t>
      </w:r>
      <w:proofErr w:type="spellEnd"/>
      <w:r w:rsidR="00247A9F" w:rsidRPr="0015080A">
        <w:rPr>
          <w:u w:val="single"/>
        </w:rPr>
        <w:t xml:space="preserve"> </w:t>
      </w:r>
      <w:proofErr w:type="spellStart"/>
      <w:r w:rsidRPr="0015080A">
        <w:rPr>
          <w:u w:val="single"/>
        </w:rPr>
        <w:t>Deposits</w:t>
      </w:r>
      <w:proofErr w:type="spellEnd"/>
      <w:r w:rsidRPr="0015080A">
        <w:rPr>
          <w:u w:val="single"/>
        </w:rPr>
        <w:t xml:space="preserve"> </w:t>
      </w:r>
      <w:r w:rsidR="00247A9F" w:rsidRPr="0015080A">
        <w:rPr>
          <w:u w:val="single"/>
        </w:rPr>
        <w:t>-</w:t>
      </w:r>
      <w:r w:rsidRPr="0015080A">
        <w:rPr>
          <w:u w:val="single"/>
        </w:rPr>
        <w:t xml:space="preserve"> NMD, por sus siglas en inglés):</w:t>
      </w:r>
      <w:r w:rsidRPr="00842482">
        <w:t xml:space="preserve"> La entidad debe documentar, monitorear y actualizar regularmente los supuestos claves utilizados en la modelación para los saldos y el comportamiento de los NMD, incluyendo el análisis de la base de depositantes para identificar la proporción </w:t>
      </w:r>
      <w:r w:rsidR="0084161C">
        <w:t>de depósitos</w:t>
      </w:r>
      <w:r w:rsidRPr="00842482">
        <w:t xml:space="preserve"> básicos</w:t>
      </w:r>
      <w:r w:rsidR="0084161C">
        <w:t xml:space="preserve"> </w:t>
      </w:r>
      <w:r w:rsidR="0084161C" w:rsidRPr="0084161C">
        <w:rPr>
          <w:i/>
          <w:iCs/>
        </w:rPr>
        <w:t>(</w:t>
      </w:r>
      <w:proofErr w:type="spellStart"/>
      <w:r w:rsidR="0084161C" w:rsidRPr="0084161C">
        <w:rPr>
          <w:i/>
          <w:iCs/>
        </w:rPr>
        <w:t>core</w:t>
      </w:r>
      <w:proofErr w:type="spellEnd"/>
      <w:r w:rsidR="0084161C" w:rsidRPr="0084161C">
        <w:rPr>
          <w:i/>
          <w:iCs/>
        </w:rPr>
        <w:t>)</w:t>
      </w:r>
      <w:r w:rsidRPr="00842482">
        <w:t>. Los supuestos deben variar según las características del depositante</w:t>
      </w:r>
      <w:r w:rsidR="0005591C">
        <w:t xml:space="preserve">, es decir, </w:t>
      </w:r>
      <w:r w:rsidRPr="00842482">
        <w:t xml:space="preserve">minorista </w:t>
      </w:r>
      <w:r w:rsidR="00342284">
        <w:t xml:space="preserve">o </w:t>
      </w:r>
      <w:r w:rsidRPr="00842482">
        <w:t>mayorista</w:t>
      </w:r>
      <w:r w:rsidR="00342284">
        <w:t>,</w:t>
      </w:r>
      <w:r w:rsidRPr="00842482">
        <w:t xml:space="preserve"> y las características de la cuenta</w:t>
      </w:r>
      <w:r w:rsidR="00342284">
        <w:t xml:space="preserve">, es decir, </w:t>
      </w:r>
      <w:r w:rsidRPr="00842482">
        <w:t xml:space="preserve">transaccional </w:t>
      </w:r>
      <w:r w:rsidR="00342284">
        <w:t xml:space="preserve">o </w:t>
      </w:r>
      <w:r w:rsidRPr="00842482">
        <w:t>no transaccional, en línea con los criterios del numeral 2.</w:t>
      </w:r>
      <w:r w:rsidR="0084161C">
        <w:t>4</w:t>
      </w:r>
      <w:r w:rsidRPr="00842482">
        <w:t>.1</w:t>
      </w:r>
      <w:r w:rsidR="0084161C">
        <w:t>.1</w:t>
      </w:r>
      <w:r w:rsidR="00C144FD">
        <w:t>.</w:t>
      </w:r>
      <w:r w:rsidR="00131427">
        <w:t>, señalados más adelante.</w:t>
      </w:r>
    </w:p>
    <w:p w14:paraId="7CD0DD5A" w14:textId="77777777" w:rsidR="002E6C18" w:rsidRPr="00842482" w:rsidRDefault="002E6C18" w:rsidP="00A75EBC"/>
    <w:p w14:paraId="4EA85C47" w14:textId="00DB7641" w:rsidR="00083336" w:rsidRDefault="00131427" w:rsidP="001E5FB3">
      <w:pPr>
        <w:pStyle w:val="Sinespaciado"/>
      </w:pPr>
      <w:r>
        <w:t xml:space="preserve">En adición a los productos sujetos a opcionalidad ya citados, </w:t>
      </w:r>
      <w:r w:rsidR="00F04E87" w:rsidRPr="00842482">
        <w:t xml:space="preserve">la entidad debe considerar la importancia relativa del impacto de las opciones de comportamiento dentro de los </w:t>
      </w:r>
      <w:r>
        <w:t xml:space="preserve">productos o exposiciones </w:t>
      </w:r>
      <w:r w:rsidR="00F04E87" w:rsidRPr="00842482">
        <w:t>a tasa variable. Por ejemplo, el comportamiento de los pagos anticipados que surgen de los límites máximos y mínimos implícitos podría afectar el VEP de la entidad. Así mismo, los cambios abruptos en las condiciones de mercado deben llevar a revisiones de los supuestos</w:t>
      </w:r>
      <w:r w:rsidR="00C144FD">
        <w:t>.</w:t>
      </w:r>
    </w:p>
    <w:p w14:paraId="7BE478D1" w14:textId="18026ECE" w:rsidR="00A82B7F" w:rsidRDefault="00A82B7F" w:rsidP="001E5FB3">
      <w:pPr>
        <w:pStyle w:val="Sinespaciado"/>
      </w:pPr>
    </w:p>
    <w:p w14:paraId="04E30216" w14:textId="18097B73" w:rsidR="00377E22" w:rsidRDefault="00A82B7F" w:rsidP="001E5FB3">
      <w:pPr>
        <w:pStyle w:val="Sinespaciado"/>
      </w:pPr>
      <w:r w:rsidRPr="00A82B7F">
        <w:t>Además, l</w:t>
      </w:r>
      <w:r>
        <w:t>a</w:t>
      </w:r>
      <w:r w:rsidR="00A0588C">
        <w:t xml:space="preserve"> entidad</w:t>
      </w:r>
      <w:r w:rsidRPr="00A82B7F">
        <w:t xml:space="preserve"> con posiciones denominadas en diferentes </w:t>
      </w:r>
      <w:r w:rsidR="00E541A6" w:rsidRPr="00A82B7F">
        <w:t>monedas</w:t>
      </w:r>
      <w:r>
        <w:t xml:space="preserve"> debe evaluar las exposiciones en cada moneda, d</w:t>
      </w:r>
      <w:r w:rsidRPr="00A82B7F">
        <w:t>ado que las curvas de rendimiento varían de una moneda a otra</w:t>
      </w:r>
      <w:r>
        <w:t>.</w:t>
      </w:r>
    </w:p>
    <w:p w14:paraId="37E245BB" w14:textId="35CA87EA" w:rsidR="008A3D39" w:rsidRDefault="008A3D39" w:rsidP="001E5FB3">
      <w:pPr>
        <w:pStyle w:val="Sinespaciado"/>
      </w:pPr>
    </w:p>
    <w:p w14:paraId="71A47C66" w14:textId="77777777" w:rsidR="00AD2516" w:rsidRDefault="00AD2516" w:rsidP="001E5FB3">
      <w:pPr>
        <w:pStyle w:val="Sinespaciado"/>
      </w:pPr>
    </w:p>
    <w:p w14:paraId="39C3CF7C" w14:textId="77777777" w:rsidR="00AD2516" w:rsidRDefault="00AD2516" w:rsidP="001E5FB3">
      <w:pPr>
        <w:pStyle w:val="Sinespaciado"/>
      </w:pPr>
    </w:p>
    <w:p w14:paraId="7B75B385" w14:textId="2758164C" w:rsidR="00AD2516" w:rsidRDefault="00AD2516" w:rsidP="001E5FB3">
      <w:pPr>
        <w:pStyle w:val="Sinespaciado"/>
      </w:pPr>
    </w:p>
    <w:p w14:paraId="36052C19" w14:textId="3B97B336" w:rsidR="00645C6F" w:rsidRPr="00645C6F" w:rsidRDefault="008E2EBD" w:rsidP="00A75EBC">
      <w:pPr>
        <w:pStyle w:val="Ttulo1"/>
      </w:pPr>
      <w:r>
        <w:rPr>
          <w:noProof/>
        </w:rPr>
        <w:lastRenderedPageBreak/>
        <mc:AlternateContent>
          <mc:Choice Requires="wps">
            <w:drawing>
              <wp:anchor distT="0" distB="0" distL="114300" distR="114300" simplePos="0" relativeHeight="251671552" behindDoc="0" locked="0" layoutInCell="1" allowOverlap="1" wp14:anchorId="4C25A8B0" wp14:editId="5650D0B5">
                <wp:simplePos x="0" y="0"/>
                <wp:positionH relativeFrom="column">
                  <wp:posOffset>-165735</wp:posOffset>
                </wp:positionH>
                <wp:positionV relativeFrom="paragraph">
                  <wp:posOffset>-31116</wp:posOffset>
                </wp:positionV>
                <wp:extent cx="38100" cy="10315575"/>
                <wp:effectExtent l="0" t="0" r="19050" b="28575"/>
                <wp:wrapNone/>
                <wp:docPr id="4" name="Conector recto 4"/>
                <wp:cNvGraphicFramePr/>
                <a:graphic xmlns:a="http://schemas.openxmlformats.org/drawingml/2006/main">
                  <a:graphicData uri="http://schemas.microsoft.com/office/word/2010/wordprocessingShape">
                    <wps:wsp>
                      <wps:cNvCnPr/>
                      <wps:spPr>
                        <a:xfrm>
                          <a:off x="0" y="0"/>
                          <a:ext cx="38100" cy="10315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95204C" id="Conector recto 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2.45pt" to="-10.05pt,8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" strokecolor="black [3200]" strokeweight=".5pt">
                <v:stroke joinstyle="miter"/>
              </v:line>
            </w:pict>
          </mc:Fallback>
        </mc:AlternateContent>
      </w:r>
      <w:r w:rsidR="004A4C2B" w:rsidRPr="00645C6F">
        <w:t>Bandas de tiempo</w:t>
      </w:r>
    </w:p>
    <w:p w14:paraId="052E5362" w14:textId="0CDB2643" w:rsidR="00645C6F" w:rsidRDefault="00645C6F" w:rsidP="007C7798">
      <w:pPr>
        <w:pStyle w:val="Sinespaciado"/>
      </w:pPr>
    </w:p>
    <w:p w14:paraId="16B21F53" w14:textId="5EC58F5A" w:rsidR="004A4C2B" w:rsidRPr="007C7798" w:rsidRDefault="0054408B" w:rsidP="007C7798">
      <w:pPr>
        <w:pStyle w:val="Sinespaciado"/>
      </w:pPr>
      <w:r w:rsidRPr="007C7798">
        <w:t xml:space="preserve">Tanto </w:t>
      </w:r>
      <w:r w:rsidR="00160CA8">
        <w:t xml:space="preserve">para </w:t>
      </w:r>
      <w:r w:rsidRPr="007C7798">
        <w:t>el valor económico como las ganancias</w:t>
      </w:r>
      <w:r w:rsidR="000B470B" w:rsidRPr="007C7798">
        <w:t xml:space="preserve">, la metodología estándar establece las siguientes bandas de tiempo para </w:t>
      </w:r>
      <w:r w:rsidR="00F447D5" w:rsidRPr="007C7798">
        <w:t>el mapeo de las posiciones en el balance y fuera de balance que ha</w:t>
      </w:r>
      <w:r w:rsidR="0045653D" w:rsidRPr="007C7798">
        <w:t>cen parte del cálculo del MNI y VEP</w:t>
      </w:r>
      <w:r w:rsidR="004E415F">
        <w:t>.</w:t>
      </w:r>
    </w:p>
    <w:p w14:paraId="1C266008" w14:textId="58F49F7F" w:rsidR="004A4C2B" w:rsidRDefault="004A4C2B" w:rsidP="007C7798">
      <w:pPr>
        <w:pStyle w:val="Sinespaciado"/>
      </w:pPr>
    </w:p>
    <w:p w14:paraId="069725FE" w14:textId="6FA0DB7C" w:rsidR="005230AD" w:rsidRDefault="005230AD" w:rsidP="00A75EBC">
      <w:pPr>
        <w:rPr>
          <w:b/>
        </w:rPr>
      </w:pPr>
      <w:r w:rsidRPr="00570755">
        <w:rPr>
          <w:b/>
        </w:rPr>
        <w:t xml:space="preserve">Tabla </w:t>
      </w:r>
      <w:r w:rsidR="007C7798" w:rsidRPr="00570755">
        <w:rPr>
          <w:b/>
        </w:rPr>
        <w:t>4</w:t>
      </w:r>
      <w:r w:rsidRPr="00570755">
        <w:rPr>
          <w:b/>
        </w:rPr>
        <w:t>: Bandas de tiempo</w:t>
      </w:r>
    </w:p>
    <w:p w14:paraId="59D34EC5" w14:textId="77777777" w:rsidR="00A434D7" w:rsidRPr="00570755" w:rsidRDefault="00A434D7" w:rsidP="00A75EBC">
      <w:pPr>
        <w:rPr>
          <w:b/>
        </w:rPr>
      </w:pPr>
    </w:p>
    <w:tbl>
      <w:tblPr>
        <w:tblW w:w="9007" w:type="dxa"/>
        <w:tblCellMar>
          <w:left w:w="70" w:type="dxa"/>
          <w:right w:w="70" w:type="dxa"/>
        </w:tblCellMar>
        <w:tblLook w:val="04A0" w:firstRow="1" w:lastRow="0" w:firstColumn="1" w:lastColumn="0" w:noHBand="0" w:noVBand="1"/>
      </w:tblPr>
      <w:tblGrid>
        <w:gridCol w:w="1078"/>
        <w:gridCol w:w="921"/>
        <w:gridCol w:w="926"/>
        <w:gridCol w:w="937"/>
        <w:gridCol w:w="937"/>
        <w:gridCol w:w="969"/>
        <w:gridCol w:w="1176"/>
        <w:gridCol w:w="1144"/>
        <w:gridCol w:w="969"/>
      </w:tblGrid>
      <w:tr w:rsidR="001F23C2" w:rsidRPr="001F23C2" w14:paraId="45DF9209" w14:textId="77777777" w:rsidTr="001F23C2">
        <w:trPr>
          <w:trHeight w:val="260"/>
        </w:trPr>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8AC31E" w14:textId="0D7574CE" w:rsidR="001F23C2" w:rsidRPr="001F23C2" w:rsidRDefault="001F23C2" w:rsidP="00A75EBC">
            <w:pPr>
              <w:rPr>
                <w:lang w:eastAsia="es-CO"/>
              </w:rPr>
            </w:pPr>
            <w:r w:rsidRPr="001F23C2">
              <w:rPr>
                <w:lang w:eastAsia="es-CO"/>
              </w:rPr>
              <w:t xml:space="preserve">Banda de tiempo </w:t>
            </w:r>
            <m:oMath>
              <m:r>
                <w:rPr>
                  <w:rFonts w:ascii="Cambria Math" w:hAnsi="Cambria Math"/>
                  <w:lang w:eastAsia="es-CO"/>
                </w:rPr>
                <m:t>K</m:t>
              </m:r>
            </m:oMath>
          </w:p>
        </w:tc>
        <w:tc>
          <w:tcPr>
            <w:tcW w:w="871" w:type="dxa"/>
            <w:tcBorders>
              <w:top w:val="single" w:sz="4" w:space="0" w:color="auto"/>
              <w:left w:val="nil"/>
              <w:bottom w:val="single" w:sz="4" w:space="0" w:color="auto"/>
              <w:right w:val="single" w:sz="4" w:space="0" w:color="auto"/>
            </w:tcBorders>
            <w:shd w:val="clear" w:color="000000" w:fill="FFFFFF"/>
            <w:noWrap/>
            <w:vAlign w:val="center"/>
            <w:hideMark/>
          </w:tcPr>
          <w:p w14:paraId="056C15E4" w14:textId="77777777" w:rsidR="001F23C2" w:rsidRPr="001F23C2" w:rsidRDefault="001F23C2" w:rsidP="00A75EBC">
            <w:pPr>
              <w:rPr>
                <w:lang w:eastAsia="es-CO"/>
              </w:rPr>
            </w:pPr>
            <w:r w:rsidRPr="001F23C2">
              <w:rPr>
                <w:lang w:eastAsia="es-CO"/>
              </w:rPr>
              <w:t>Overnight</w:t>
            </w:r>
          </w:p>
        </w:tc>
        <w:tc>
          <w:tcPr>
            <w:tcW w:w="926" w:type="dxa"/>
            <w:tcBorders>
              <w:top w:val="single" w:sz="4" w:space="0" w:color="auto"/>
              <w:left w:val="nil"/>
              <w:bottom w:val="single" w:sz="4" w:space="0" w:color="auto"/>
              <w:right w:val="single" w:sz="4" w:space="0" w:color="auto"/>
            </w:tcBorders>
            <w:shd w:val="clear" w:color="000000" w:fill="FFFFFF"/>
            <w:noWrap/>
            <w:vAlign w:val="center"/>
            <w:hideMark/>
          </w:tcPr>
          <w:p w14:paraId="1E9083F4" w14:textId="44393861" w:rsidR="001F23C2" w:rsidRPr="001F23C2" w:rsidRDefault="001F23C2" w:rsidP="00A75EBC">
            <w:pPr>
              <w:rPr>
                <w:lang w:eastAsia="es-CO"/>
              </w:rPr>
            </w:pPr>
            <w:r w:rsidRPr="001F23C2">
              <w:rPr>
                <w:lang w:eastAsia="es-CO"/>
              </w:rPr>
              <w:t>Overnight</w:t>
            </w:r>
            <w:r w:rsidR="00D70741">
              <w:rPr>
                <w:lang w:eastAsia="es-CO"/>
              </w:rPr>
              <w:t xml:space="preserve"> &lt;</w:t>
            </w:r>
            <w:r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D70741">
              <w:rPr>
                <w:lang w:eastAsia="es-CO"/>
              </w:rPr>
              <w:t xml:space="preserve"> </w:t>
            </w:r>
            <w:r w:rsidRPr="001F23C2">
              <w:rPr>
                <w:lang w:eastAsia="es-CO"/>
              </w:rPr>
              <w:t>≤ 1 mes</w:t>
            </w:r>
          </w:p>
        </w:tc>
        <w:tc>
          <w:tcPr>
            <w:tcW w:w="937" w:type="dxa"/>
            <w:tcBorders>
              <w:top w:val="single" w:sz="4" w:space="0" w:color="auto"/>
              <w:left w:val="nil"/>
              <w:bottom w:val="single" w:sz="4" w:space="0" w:color="auto"/>
              <w:right w:val="single" w:sz="4" w:space="0" w:color="auto"/>
            </w:tcBorders>
            <w:shd w:val="clear" w:color="000000" w:fill="FFFFFF"/>
            <w:noWrap/>
            <w:vAlign w:val="center"/>
            <w:hideMark/>
          </w:tcPr>
          <w:p w14:paraId="2922DCFE" w14:textId="6DE4F877" w:rsidR="001F23C2" w:rsidRPr="001F23C2" w:rsidRDefault="001F23C2" w:rsidP="00A75EBC">
            <w:pPr>
              <w:rPr>
                <w:lang w:eastAsia="es-CO"/>
              </w:rPr>
            </w:pPr>
            <w:r w:rsidRPr="001F23C2">
              <w:rPr>
                <w:lang w:eastAsia="es-CO"/>
              </w:rPr>
              <w:t>1</w:t>
            </w:r>
            <w:r w:rsidR="00481BF2">
              <w:rPr>
                <w:lang w:eastAsia="es-CO"/>
              </w:rPr>
              <w:t xml:space="preserve"> mes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3 meses</w:t>
            </w:r>
          </w:p>
        </w:tc>
        <w:tc>
          <w:tcPr>
            <w:tcW w:w="937" w:type="dxa"/>
            <w:tcBorders>
              <w:top w:val="single" w:sz="4" w:space="0" w:color="auto"/>
              <w:left w:val="nil"/>
              <w:bottom w:val="single" w:sz="4" w:space="0" w:color="auto"/>
              <w:right w:val="single" w:sz="4" w:space="0" w:color="auto"/>
            </w:tcBorders>
            <w:shd w:val="clear" w:color="000000" w:fill="FFFFFF"/>
            <w:noWrap/>
            <w:vAlign w:val="center"/>
            <w:hideMark/>
          </w:tcPr>
          <w:p w14:paraId="3984BC56" w14:textId="6A28985A" w:rsidR="00B272A6" w:rsidRPr="001F23C2" w:rsidRDefault="001F23C2" w:rsidP="00A75EBC">
            <w:pPr>
              <w:rPr>
                <w:lang w:eastAsia="es-CO"/>
              </w:rPr>
            </w:pPr>
            <w:r w:rsidRPr="001F23C2">
              <w:rPr>
                <w:lang w:eastAsia="es-CO"/>
              </w:rPr>
              <w:t>3</w:t>
            </w:r>
            <w:r w:rsidR="00481BF2">
              <w:rPr>
                <w:lang w:eastAsia="es-CO"/>
              </w:rPr>
              <w:t xml:space="preserve"> meses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6 meses</w:t>
            </w:r>
          </w:p>
        </w:tc>
        <w:tc>
          <w:tcPr>
            <w:tcW w:w="969" w:type="dxa"/>
            <w:tcBorders>
              <w:top w:val="single" w:sz="4" w:space="0" w:color="auto"/>
              <w:left w:val="nil"/>
              <w:bottom w:val="single" w:sz="4" w:space="0" w:color="auto"/>
              <w:right w:val="single" w:sz="4" w:space="0" w:color="auto"/>
            </w:tcBorders>
            <w:shd w:val="clear" w:color="000000" w:fill="FFFFFF"/>
            <w:noWrap/>
            <w:vAlign w:val="center"/>
            <w:hideMark/>
          </w:tcPr>
          <w:p w14:paraId="343A14B2" w14:textId="4838A910" w:rsidR="001F23C2" w:rsidRPr="001F23C2" w:rsidRDefault="001F23C2" w:rsidP="00A75EBC">
            <w:pPr>
              <w:rPr>
                <w:lang w:eastAsia="es-CO"/>
              </w:rPr>
            </w:pPr>
            <w:r w:rsidRPr="001F23C2">
              <w:rPr>
                <w:lang w:eastAsia="es-CO"/>
              </w:rPr>
              <w:t xml:space="preserve">6 </w:t>
            </w:r>
            <w:r w:rsidR="00481BF2">
              <w:rPr>
                <w:lang w:eastAsia="es-CO"/>
              </w:rPr>
              <w:t>meses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Pr>
                <w:vertAlign w:val="subscript"/>
                <w:lang w:eastAsia="es-CO"/>
              </w:rPr>
              <w:t xml:space="preserve"> </w:t>
            </w:r>
            <w:r w:rsidRPr="001F23C2">
              <w:rPr>
                <w:lang w:eastAsia="es-CO"/>
              </w:rPr>
              <w:t>≤ 9 meses</w:t>
            </w:r>
          </w:p>
        </w:tc>
        <w:tc>
          <w:tcPr>
            <w:tcW w:w="1176" w:type="dxa"/>
            <w:tcBorders>
              <w:top w:val="single" w:sz="4" w:space="0" w:color="auto"/>
              <w:left w:val="nil"/>
              <w:bottom w:val="single" w:sz="4" w:space="0" w:color="auto"/>
              <w:right w:val="single" w:sz="4" w:space="0" w:color="auto"/>
            </w:tcBorders>
            <w:shd w:val="clear" w:color="000000" w:fill="FFFFFF"/>
            <w:noWrap/>
            <w:vAlign w:val="center"/>
            <w:hideMark/>
          </w:tcPr>
          <w:p w14:paraId="3338C842" w14:textId="5503388D" w:rsidR="001F23C2" w:rsidRPr="001F23C2" w:rsidRDefault="001F23C2" w:rsidP="00A75EBC">
            <w:pPr>
              <w:rPr>
                <w:lang w:eastAsia="es-CO"/>
              </w:rPr>
            </w:pPr>
            <w:r w:rsidRPr="001F23C2">
              <w:rPr>
                <w:lang w:eastAsia="es-CO"/>
              </w:rPr>
              <w:t>9 meses</w:t>
            </w:r>
            <w:r w:rsidR="00481BF2">
              <w:rPr>
                <w:lang w:eastAsia="es-CO"/>
              </w:rPr>
              <w:t xml:space="preserve">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Pr>
                <w:lang w:eastAsia="es-CO"/>
              </w:rPr>
              <w:t xml:space="preserve"> </w:t>
            </w:r>
            <w:r w:rsidRPr="001F23C2">
              <w:rPr>
                <w:lang w:eastAsia="es-CO"/>
              </w:rPr>
              <w:t>≤ 1 año</w:t>
            </w:r>
          </w:p>
        </w:tc>
        <w:tc>
          <w:tcPr>
            <w:tcW w:w="1144" w:type="dxa"/>
            <w:tcBorders>
              <w:top w:val="single" w:sz="4" w:space="0" w:color="auto"/>
              <w:left w:val="nil"/>
              <w:bottom w:val="single" w:sz="4" w:space="0" w:color="auto"/>
              <w:right w:val="single" w:sz="4" w:space="0" w:color="auto"/>
            </w:tcBorders>
            <w:shd w:val="clear" w:color="000000" w:fill="FFFFFF"/>
            <w:noWrap/>
            <w:vAlign w:val="center"/>
            <w:hideMark/>
          </w:tcPr>
          <w:p w14:paraId="24674C6B" w14:textId="6CB5D9E2" w:rsidR="001F23C2" w:rsidRPr="001F23C2" w:rsidRDefault="001F23C2" w:rsidP="00A75EBC">
            <w:pPr>
              <w:rPr>
                <w:lang w:eastAsia="es-CO"/>
              </w:rPr>
            </w:pPr>
            <w:r w:rsidRPr="001F23C2">
              <w:rPr>
                <w:lang w:eastAsia="es-CO"/>
              </w:rPr>
              <w:t xml:space="preserve">1 año </w:t>
            </w:r>
            <w:r w:rsidR="00481BF2">
              <w:rPr>
                <w:lang w:eastAsia="es-CO"/>
              </w:rPr>
              <w:t>&lt;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1.5 años</w:t>
            </w:r>
          </w:p>
        </w:tc>
        <w:tc>
          <w:tcPr>
            <w:tcW w:w="969" w:type="dxa"/>
            <w:tcBorders>
              <w:top w:val="single" w:sz="4" w:space="0" w:color="auto"/>
              <w:left w:val="nil"/>
              <w:bottom w:val="single" w:sz="4" w:space="0" w:color="auto"/>
              <w:right w:val="single" w:sz="4" w:space="0" w:color="auto"/>
            </w:tcBorders>
            <w:shd w:val="clear" w:color="000000" w:fill="FFFFFF"/>
            <w:noWrap/>
            <w:vAlign w:val="center"/>
            <w:hideMark/>
          </w:tcPr>
          <w:p w14:paraId="29EB6071" w14:textId="70B3E43D" w:rsidR="001F23C2" w:rsidRPr="001F23C2" w:rsidRDefault="001F23C2" w:rsidP="00A75EBC">
            <w:pPr>
              <w:rPr>
                <w:lang w:eastAsia="es-CO"/>
              </w:rPr>
            </w:pPr>
            <w:r w:rsidRPr="001F23C2">
              <w:rPr>
                <w:lang w:eastAsia="es-CO"/>
              </w:rPr>
              <w:t>1.5</w:t>
            </w:r>
            <w:r w:rsidR="00481BF2">
              <w:rPr>
                <w:lang w:eastAsia="es-CO"/>
              </w:rPr>
              <w:t xml:space="preserve"> año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2 años</w:t>
            </w:r>
          </w:p>
        </w:tc>
      </w:tr>
      <w:tr w:rsidR="001F23C2" w:rsidRPr="001F23C2" w14:paraId="655569C6" w14:textId="77777777" w:rsidTr="001F23C2">
        <w:trPr>
          <w:trHeight w:val="247"/>
        </w:trPr>
        <w:tc>
          <w:tcPr>
            <w:tcW w:w="1078" w:type="dxa"/>
            <w:tcBorders>
              <w:top w:val="nil"/>
              <w:left w:val="single" w:sz="4" w:space="0" w:color="auto"/>
              <w:bottom w:val="single" w:sz="4" w:space="0" w:color="auto"/>
              <w:right w:val="single" w:sz="4" w:space="0" w:color="auto"/>
            </w:tcBorders>
            <w:shd w:val="clear" w:color="000000" w:fill="FFFFFF"/>
            <w:noWrap/>
            <w:vAlign w:val="center"/>
            <w:hideMark/>
          </w:tcPr>
          <w:p w14:paraId="2CF24BF2" w14:textId="15CC6B64" w:rsidR="001F23C2" w:rsidRPr="001F23C2" w:rsidRDefault="001F23C2" w:rsidP="00A75EBC">
            <w:pPr>
              <w:rPr>
                <w:lang w:eastAsia="es-CO"/>
              </w:rPr>
            </w:pPr>
            <w:r w:rsidRPr="001F23C2">
              <w:rPr>
                <w:lang w:eastAsia="es-CO"/>
              </w:rPr>
              <w:t xml:space="preserve">Punto medio </w:t>
            </w: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k</m:t>
                  </m:r>
                </m:sub>
              </m:sSub>
            </m:oMath>
          </w:p>
        </w:tc>
        <w:tc>
          <w:tcPr>
            <w:tcW w:w="871" w:type="dxa"/>
            <w:tcBorders>
              <w:top w:val="nil"/>
              <w:left w:val="nil"/>
              <w:bottom w:val="single" w:sz="4" w:space="0" w:color="auto"/>
              <w:right w:val="single" w:sz="4" w:space="0" w:color="auto"/>
            </w:tcBorders>
            <w:shd w:val="clear" w:color="000000" w:fill="FFFFFF"/>
            <w:noWrap/>
            <w:vAlign w:val="center"/>
            <w:hideMark/>
          </w:tcPr>
          <w:p w14:paraId="6658533C" w14:textId="784ADC64" w:rsidR="001F23C2" w:rsidRPr="001F23C2" w:rsidRDefault="001F23C2" w:rsidP="00160CA8">
            <w:pPr>
              <w:jc w:val="center"/>
              <w:rPr>
                <w:lang w:eastAsia="es-CO"/>
              </w:rPr>
            </w:pPr>
            <w:r w:rsidRPr="001F23C2">
              <w:rPr>
                <w:lang w:eastAsia="es-CO"/>
              </w:rPr>
              <w:t xml:space="preserve">0.0028 </w:t>
            </w:r>
            <w:r w:rsidR="00530C26">
              <w:rPr>
                <w:lang w:eastAsia="es-CO"/>
              </w:rPr>
              <w:t>años</w:t>
            </w:r>
          </w:p>
        </w:tc>
        <w:tc>
          <w:tcPr>
            <w:tcW w:w="926" w:type="dxa"/>
            <w:tcBorders>
              <w:top w:val="nil"/>
              <w:left w:val="nil"/>
              <w:bottom w:val="single" w:sz="4" w:space="0" w:color="auto"/>
              <w:right w:val="single" w:sz="4" w:space="0" w:color="auto"/>
            </w:tcBorders>
            <w:shd w:val="clear" w:color="000000" w:fill="FFFFFF"/>
            <w:noWrap/>
            <w:vAlign w:val="center"/>
            <w:hideMark/>
          </w:tcPr>
          <w:p w14:paraId="657E1A35" w14:textId="126F5BEE" w:rsidR="001F23C2" w:rsidRPr="001F23C2" w:rsidRDefault="001F23C2" w:rsidP="00160CA8">
            <w:pPr>
              <w:jc w:val="center"/>
              <w:rPr>
                <w:lang w:eastAsia="es-CO"/>
              </w:rPr>
            </w:pPr>
            <w:r w:rsidRPr="001F23C2">
              <w:rPr>
                <w:lang w:eastAsia="es-CO"/>
              </w:rPr>
              <w:t xml:space="preserve">0.0417 </w:t>
            </w:r>
            <w:r w:rsidR="00530C26">
              <w:rPr>
                <w:lang w:eastAsia="es-CO"/>
              </w:rPr>
              <w:t>años</w:t>
            </w:r>
          </w:p>
        </w:tc>
        <w:tc>
          <w:tcPr>
            <w:tcW w:w="937" w:type="dxa"/>
            <w:tcBorders>
              <w:top w:val="nil"/>
              <w:left w:val="nil"/>
              <w:bottom w:val="single" w:sz="4" w:space="0" w:color="auto"/>
              <w:right w:val="single" w:sz="4" w:space="0" w:color="auto"/>
            </w:tcBorders>
            <w:shd w:val="clear" w:color="000000" w:fill="FFFFFF"/>
            <w:noWrap/>
            <w:vAlign w:val="center"/>
            <w:hideMark/>
          </w:tcPr>
          <w:p w14:paraId="31C0554C" w14:textId="0512ED6A" w:rsidR="001F23C2" w:rsidRPr="001F23C2" w:rsidRDefault="001F23C2" w:rsidP="00160CA8">
            <w:pPr>
              <w:jc w:val="center"/>
              <w:rPr>
                <w:lang w:eastAsia="es-CO"/>
              </w:rPr>
            </w:pPr>
            <w:r w:rsidRPr="001F23C2">
              <w:rPr>
                <w:lang w:eastAsia="es-CO"/>
              </w:rPr>
              <w:t xml:space="preserve">0.1667 </w:t>
            </w:r>
            <w:r w:rsidR="00530C26">
              <w:rPr>
                <w:lang w:eastAsia="es-CO"/>
              </w:rPr>
              <w:t>años</w:t>
            </w:r>
          </w:p>
        </w:tc>
        <w:tc>
          <w:tcPr>
            <w:tcW w:w="937" w:type="dxa"/>
            <w:tcBorders>
              <w:top w:val="nil"/>
              <w:left w:val="nil"/>
              <w:bottom w:val="single" w:sz="4" w:space="0" w:color="auto"/>
              <w:right w:val="single" w:sz="4" w:space="0" w:color="auto"/>
            </w:tcBorders>
            <w:shd w:val="clear" w:color="000000" w:fill="FFFFFF"/>
            <w:noWrap/>
            <w:vAlign w:val="center"/>
            <w:hideMark/>
          </w:tcPr>
          <w:p w14:paraId="3A95099E" w14:textId="21BF053B" w:rsidR="001F23C2" w:rsidRPr="001F23C2" w:rsidRDefault="001F23C2" w:rsidP="00160CA8">
            <w:pPr>
              <w:jc w:val="center"/>
              <w:rPr>
                <w:lang w:eastAsia="es-CO"/>
              </w:rPr>
            </w:pPr>
            <w:r w:rsidRPr="001F23C2">
              <w:rPr>
                <w:lang w:eastAsia="es-CO"/>
              </w:rPr>
              <w:t xml:space="preserve">0.375 </w:t>
            </w:r>
            <w:r w:rsidR="00530C26">
              <w:rPr>
                <w:lang w:eastAsia="es-CO"/>
              </w:rPr>
              <w:t>años</w:t>
            </w:r>
          </w:p>
        </w:tc>
        <w:tc>
          <w:tcPr>
            <w:tcW w:w="969" w:type="dxa"/>
            <w:tcBorders>
              <w:top w:val="nil"/>
              <w:left w:val="nil"/>
              <w:bottom w:val="single" w:sz="4" w:space="0" w:color="auto"/>
              <w:right w:val="single" w:sz="4" w:space="0" w:color="auto"/>
            </w:tcBorders>
            <w:shd w:val="clear" w:color="000000" w:fill="FFFFFF"/>
            <w:noWrap/>
            <w:vAlign w:val="center"/>
            <w:hideMark/>
          </w:tcPr>
          <w:p w14:paraId="029ED768" w14:textId="6399A069" w:rsidR="001F23C2" w:rsidRPr="001F23C2" w:rsidRDefault="001F23C2" w:rsidP="00160CA8">
            <w:pPr>
              <w:jc w:val="center"/>
              <w:rPr>
                <w:lang w:eastAsia="es-CO"/>
              </w:rPr>
            </w:pPr>
            <w:r w:rsidRPr="001F23C2">
              <w:rPr>
                <w:lang w:eastAsia="es-CO"/>
              </w:rPr>
              <w:t xml:space="preserve">0.625 </w:t>
            </w:r>
            <w:r w:rsidR="00530C26">
              <w:rPr>
                <w:lang w:eastAsia="es-CO"/>
              </w:rPr>
              <w:t>años</w:t>
            </w:r>
          </w:p>
        </w:tc>
        <w:tc>
          <w:tcPr>
            <w:tcW w:w="1176" w:type="dxa"/>
            <w:tcBorders>
              <w:top w:val="nil"/>
              <w:left w:val="nil"/>
              <w:bottom w:val="single" w:sz="4" w:space="0" w:color="auto"/>
              <w:right w:val="single" w:sz="4" w:space="0" w:color="auto"/>
            </w:tcBorders>
            <w:shd w:val="clear" w:color="000000" w:fill="FFFFFF"/>
            <w:noWrap/>
            <w:vAlign w:val="center"/>
            <w:hideMark/>
          </w:tcPr>
          <w:p w14:paraId="22BA5E91" w14:textId="452BF621" w:rsidR="001F23C2" w:rsidRPr="001F23C2" w:rsidRDefault="001F23C2" w:rsidP="00160CA8">
            <w:pPr>
              <w:jc w:val="center"/>
              <w:rPr>
                <w:lang w:eastAsia="es-CO"/>
              </w:rPr>
            </w:pPr>
            <w:r w:rsidRPr="001F23C2">
              <w:rPr>
                <w:lang w:eastAsia="es-CO"/>
              </w:rPr>
              <w:t xml:space="preserve">0.8075 </w:t>
            </w:r>
            <w:r w:rsidR="00530C26">
              <w:rPr>
                <w:lang w:eastAsia="es-CO"/>
              </w:rPr>
              <w:t>años</w:t>
            </w:r>
          </w:p>
        </w:tc>
        <w:tc>
          <w:tcPr>
            <w:tcW w:w="1144" w:type="dxa"/>
            <w:tcBorders>
              <w:top w:val="nil"/>
              <w:left w:val="nil"/>
              <w:bottom w:val="single" w:sz="4" w:space="0" w:color="auto"/>
              <w:right w:val="single" w:sz="4" w:space="0" w:color="auto"/>
            </w:tcBorders>
            <w:shd w:val="clear" w:color="000000" w:fill="FFFFFF"/>
            <w:noWrap/>
            <w:vAlign w:val="center"/>
            <w:hideMark/>
          </w:tcPr>
          <w:p w14:paraId="62CA937A" w14:textId="58C096F6" w:rsidR="001F23C2" w:rsidRPr="001F23C2" w:rsidRDefault="001F23C2" w:rsidP="00160CA8">
            <w:pPr>
              <w:jc w:val="center"/>
              <w:rPr>
                <w:lang w:eastAsia="es-CO"/>
              </w:rPr>
            </w:pPr>
            <w:r w:rsidRPr="001F23C2">
              <w:rPr>
                <w:lang w:eastAsia="es-CO"/>
              </w:rPr>
              <w:t xml:space="preserve">1.25 </w:t>
            </w:r>
            <w:r w:rsidR="00530C26">
              <w:rPr>
                <w:lang w:eastAsia="es-CO"/>
              </w:rPr>
              <w:t>años</w:t>
            </w:r>
          </w:p>
        </w:tc>
        <w:tc>
          <w:tcPr>
            <w:tcW w:w="969" w:type="dxa"/>
            <w:tcBorders>
              <w:top w:val="nil"/>
              <w:left w:val="nil"/>
              <w:bottom w:val="single" w:sz="4" w:space="0" w:color="auto"/>
              <w:right w:val="single" w:sz="4" w:space="0" w:color="auto"/>
            </w:tcBorders>
            <w:shd w:val="clear" w:color="000000" w:fill="FFFFFF"/>
            <w:noWrap/>
            <w:vAlign w:val="center"/>
            <w:hideMark/>
          </w:tcPr>
          <w:p w14:paraId="1088A603" w14:textId="1200495D" w:rsidR="001F23C2" w:rsidRPr="001F23C2" w:rsidRDefault="001F23C2" w:rsidP="00160CA8">
            <w:pPr>
              <w:jc w:val="center"/>
              <w:rPr>
                <w:lang w:eastAsia="es-CO"/>
              </w:rPr>
            </w:pPr>
            <w:r w:rsidRPr="001F23C2">
              <w:rPr>
                <w:lang w:eastAsia="es-CO"/>
              </w:rPr>
              <w:t xml:space="preserve">1.75 </w:t>
            </w:r>
            <w:r w:rsidR="00530C26">
              <w:rPr>
                <w:lang w:eastAsia="es-CO"/>
              </w:rPr>
              <w:t>años</w:t>
            </w:r>
          </w:p>
        </w:tc>
      </w:tr>
    </w:tbl>
    <w:p w14:paraId="07B451D8" w14:textId="0BD420FE" w:rsidR="001F23C2" w:rsidRDefault="001F23C2" w:rsidP="007C7798">
      <w:pPr>
        <w:pStyle w:val="Sinespaciado"/>
      </w:pPr>
    </w:p>
    <w:tbl>
      <w:tblPr>
        <w:tblW w:w="9079" w:type="dxa"/>
        <w:tblCellMar>
          <w:left w:w="70" w:type="dxa"/>
          <w:right w:w="70" w:type="dxa"/>
        </w:tblCellMar>
        <w:tblLook w:val="04A0" w:firstRow="1" w:lastRow="0" w:firstColumn="1" w:lastColumn="0" w:noHBand="0" w:noVBand="1"/>
      </w:tblPr>
      <w:tblGrid>
        <w:gridCol w:w="1712"/>
        <w:gridCol w:w="1384"/>
        <w:gridCol w:w="1470"/>
        <w:gridCol w:w="1487"/>
        <w:gridCol w:w="1487"/>
        <w:gridCol w:w="1539"/>
      </w:tblGrid>
      <w:tr w:rsidR="001F23C2" w:rsidRPr="001F23C2" w14:paraId="724BAE23" w14:textId="77777777" w:rsidTr="00910BDB">
        <w:trPr>
          <w:trHeight w:val="250"/>
        </w:trPr>
        <w:tc>
          <w:tcPr>
            <w:tcW w:w="1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2FAEEF" w14:textId="77777777" w:rsidR="001F23C2" w:rsidRPr="001F23C2" w:rsidRDefault="001F23C2" w:rsidP="00A75EBC">
            <w:pPr>
              <w:rPr>
                <w:lang w:eastAsia="es-CO"/>
              </w:rPr>
            </w:pPr>
            <w:r w:rsidRPr="001F23C2">
              <w:rPr>
                <w:lang w:eastAsia="es-CO"/>
              </w:rPr>
              <w:t>Banda de tiempo K</w:t>
            </w:r>
          </w:p>
        </w:tc>
        <w:tc>
          <w:tcPr>
            <w:tcW w:w="1384" w:type="dxa"/>
            <w:tcBorders>
              <w:top w:val="single" w:sz="4" w:space="0" w:color="auto"/>
              <w:left w:val="nil"/>
              <w:bottom w:val="single" w:sz="4" w:space="0" w:color="auto"/>
              <w:right w:val="single" w:sz="4" w:space="0" w:color="auto"/>
            </w:tcBorders>
            <w:shd w:val="clear" w:color="000000" w:fill="FFFFFF"/>
            <w:noWrap/>
            <w:vAlign w:val="center"/>
            <w:hideMark/>
          </w:tcPr>
          <w:p w14:paraId="0D56C8D7" w14:textId="22804B6F" w:rsidR="001F23C2" w:rsidRPr="001F23C2" w:rsidRDefault="001F23C2" w:rsidP="00A75EBC">
            <w:pPr>
              <w:rPr>
                <w:lang w:eastAsia="es-CO"/>
              </w:rPr>
            </w:pPr>
            <w:r w:rsidRPr="001F23C2">
              <w:rPr>
                <w:lang w:eastAsia="es-CO"/>
              </w:rPr>
              <w:t>2</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3 años</w:t>
            </w:r>
          </w:p>
        </w:tc>
        <w:tc>
          <w:tcPr>
            <w:tcW w:w="1470" w:type="dxa"/>
            <w:tcBorders>
              <w:top w:val="single" w:sz="4" w:space="0" w:color="auto"/>
              <w:left w:val="nil"/>
              <w:bottom w:val="single" w:sz="4" w:space="0" w:color="auto"/>
              <w:right w:val="single" w:sz="4" w:space="0" w:color="auto"/>
            </w:tcBorders>
            <w:shd w:val="clear" w:color="000000" w:fill="FFFFFF"/>
            <w:noWrap/>
            <w:vAlign w:val="center"/>
            <w:hideMark/>
          </w:tcPr>
          <w:p w14:paraId="5563948E" w14:textId="17D5313C" w:rsidR="001F23C2" w:rsidRPr="001F23C2" w:rsidRDefault="001F23C2" w:rsidP="00A75EBC">
            <w:pPr>
              <w:rPr>
                <w:lang w:eastAsia="es-CO"/>
              </w:rPr>
            </w:pPr>
            <w:r w:rsidRPr="001F23C2">
              <w:rPr>
                <w:lang w:eastAsia="es-CO"/>
              </w:rPr>
              <w:t>3</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4 años</w:t>
            </w:r>
          </w:p>
        </w:tc>
        <w:tc>
          <w:tcPr>
            <w:tcW w:w="1487" w:type="dxa"/>
            <w:tcBorders>
              <w:top w:val="single" w:sz="4" w:space="0" w:color="auto"/>
              <w:left w:val="nil"/>
              <w:bottom w:val="single" w:sz="4" w:space="0" w:color="auto"/>
              <w:right w:val="single" w:sz="4" w:space="0" w:color="auto"/>
            </w:tcBorders>
            <w:shd w:val="clear" w:color="000000" w:fill="FFFFFF"/>
            <w:noWrap/>
            <w:vAlign w:val="center"/>
            <w:hideMark/>
          </w:tcPr>
          <w:p w14:paraId="6846EB1E" w14:textId="5710DB1B" w:rsidR="001F23C2" w:rsidRPr="001F23C2" w:rsidRDefault="001F23C2" w:rsidP="00A75EBC">
            <w:pPr>
              <w:rPr>
                <w:lang w:eastAsia="es-CO"/>
              </w:rPr>
            </w:pPr>
            <w:r w:rsidRPr="001F23C2">
              <w:rPr>
                <w:lang w:eastAsia="es-CO"/>
              </w:rPr>
              <w:t>4</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5 años</w:t>
            </w:r>
          </w:p>
        </w:tc>
        <w:tc>
          <w:tcPr>
            <w:tcW w:w="1487" w:type="dxa"/>
            <w:tcBorders>
              <w:top w:val="single" w:sz="4" w:space="0" w:color="auto"/>
              <w:left w:val="nil"/>
              <w:bottom w:val="single" w:sz="4" w:space="0" w:color="auto"/>
              <w:right w:val="single" w:sz="4" w:space="0" w:color="auto"/>
            </w:tcBorders>
            <w:shd w:val="clear" w:color="000000" w:fill="FFFFFF"/>
            <w:noWrap/>
            <w:vAlign w:val="center"/>
            <w:hideMark/>
          </w:tcPr>
          <w:p w14:paraId="03B6CE72" w14:textId="13A7AFA5" w:rsidR="001F23C2" w:rsidRPr="001F23C2" w:rsidRDefault="001F23C2" w:rsidP="00A75EBC">
            <w:pPr>
              <w:rPr>
                <w:lang w:eastAsia="es-CO"/>
              </w:rPr>
            </w:pPr>
            <w:r w:rsidRPr="001F23C2">
              <w:rPr>
                <w:lang w:eastAsia="es-CO"/>
              </w:rPr>
              <w:t>5</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6</w:t>
            </w:r>
            <w:r w:rsidR="009577B2">
              <w:rPr>
                <w:lang w:eastAsia="es-CO"/>
              </w:rPr>
              <w:t xml:space="preserve"> </w:t>
            </w:r>
            <w:r w:rsidRPr="001F23C2">
              <w:rPr>
                <w:lang w:eastAsia="es-CO"/>
              </w:rPr>
              <w:t>años</w:t>
            </w:r>
          </w:p>
        </w:tc>
        <w:tc>
          <w:tcPr>
            <w:tcW w:w="1539" w:type="dxa"/>
            <w:tcBorders>
              <w:top w:val="single" w:sz="4" w:space="0" w:color="auto"/>
              <w:left w:val="nil"/>
              <w:bottom w:val="single" w:sz="4" w:space="0" w:color="auto"/>
              <w:right w:val="single" w:sz="4" w:space="0" w:color="auto"/>
            </w:tcBorders>
            <w:shd w:val="clear" w:color="000000" w:fill="FFFFFF"/>
            <w:noWrap/>
            <w:vAlign w:val="center"/>
            <w:hideMark/>
          </w:tcPr>
          <w:p w14:paraId="171A9826" w14:textId="7B20CC00" w:rsidR="001F23C2" w:rsidRPr="001F23C2" w:rsidRDefault="001F23C2" w:rsidP="00A75EBC">
            <w:pPr>
              <w:rPr>
                <w:lang w:eastAsia="es-CO"/>
              </w:rPr>
            </w:pPr>
            <w:r w:rsidRPr="001F23C2">
              <w:rPr>
                <w:lang w:eastAsia="es-CO"/>
              </w:rPr>
              <w:t xml:space="preserve">6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7 años</w:t>
            </w:r>
          </w:p>
        </w:tc>
      </w:tr>
      <w:tr w:rsidR="001F23C2" w:rsidRPr="001F23C2" w14:paraId="7CDA8AEA" w14:textId="77777777" w:rsidTr="00910BDB">
        <w:trPr>
          <w:trHeight w:val="250"/>
        </w:trPr>
        <w:tc>
          <w:tcPr>
            <w:tcW w:w="1712" w:type="dxa"/>
            <w:tcBorders>
              <w:top w:val="nil"/>
              <w:left w:val="single" w:sz="4" w:space="0" w:color="auto"/>
              <w:bottom w:val="single" w:sz="4" w:space="0" w:color="auto"/>
              <w:right w:val="single" w:sz="4" w:space="0" w:color="auto"/>
            </w:tcBorders>
            <w:shd w:val="clear" w:color="000000" w:fill="FFFFFF"/>
            <w:noWrap/>
            <w:vAlign w:val="center"/>
            <w:hideMark/>
          </w:tcPr>
          <w:p w14:paraId="5C6467BA" w14:textId="46245878" w:rsidR="001F23C2" w:rsidRPr="001F23C2" w:rsidRDefault="001F23C2" w:rsidP="00A75EBC">
            <w:pPr>
              <w:rPr>
                <w:lang w:eastAsia="es-CO"/>
              </w:rPr>
            </w:pPr>
            <w:r w:rsidRPr="001F23C2">
              <w:rPr>
                <w:lang w:eastAsia="es-CO"/>
              </w:rPr>
              <w:t xml:space="preserve">Punto medio </w:t>
            </w: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k</m:t>
                  </m:r>
                </m:sub>
              </m:sSub>
            </m:oMath>
          </w:p>
        </w:tc>
        <w:tc>
          <w:tcPr>
            <w:tcW w:w="1384" w:type="dxa"/>
            <w:tcBorders>
              <w:top w:val="nil"/>
              <w:left w:val="nil"/>
              <w:bottom w:val="single" w:sz="4" w:space="0" w:color="auto"/>
              <w:right w:val="single" w:sz="4" w:space="0" w:color="auto"/>
            </w:tcBorders>
            <w:shd w:val="clear" w:color="000000" w:fill="FFFFFF"/>
            <w:noWrap/>
            <w:vAlign w:val="center"/>
            <w:hideMark/>
          </w:tcPr>
          <w:p w14:paraId="12EC43E2" w14:textId="2B80FB88" w:rsidR="001F23C2" w:rsidRPr="001F23C2" w:rsidRDefault="001F23C2" w:rsidP="00160CA8">
            <w:pPr>
              <w:jc w:val="center"/>
              <w:rPr>
                <w:lang w:eastAsia="es-CO"/>
              </w:rPr>
            </w:pPr>
            <w:r w:rsidRPr="001F23C2">
              <w:rPr>
                <w:lang w:eastAsia="es-CO"/>
              </w:rPr>
              <w:t xml:space="preserve">2.5 </w:t>
            </w:r>
            <w:r w:rsidR="00530C26">
              <w:rPr>
                <w:lang w:eastAsia="es-CO"/>
              </w:rPr>
              <w:t>años</w:t>
            </w:r>
          </w:p>
        </w:tc>
        <w:tc>
          <w:tcPr>
            <w:tcW w:w="1470" w:type="dxa"/>
            <w:tcBorders>
              <w:top w:val="nil"/>
              <w:left w:val="nil"/>
              <w:bottom w:val="single" w:sz="4" w:space="0" w:color="auto"/>
              <w:right w:val="single" w:sz="4" w:space="0" w:color="auto"/>
            </w:tcBorders>
            <w:shd w:val="clear" w:color="000000" w:fill="FFFFFF"/>
            <w:noWrap/>
            <w:vAlign w:val="center"/>
            <w:hideMark/>
          </w:tcPr>
          <w:p w14:paraId="0CF4EB81" w14:textId="77EE4A5A" w:rsidR="001F23C2" w:rsidRPr="001F23C2" w:rsidRDefault="001F23C2" w:rsidP="00160CA8">
            <w:pPr>
              <w:jc w:val="center"/>
              <w:rPr>
                <w:lang w:eastAsia="es-CO"/>
              </w:rPr>
            </w:pPr>
            <w:r w:rsidRPr="001F23C2">
              <w:rPr>
                <w:lang w:eastAsia="es-CO"/>
              </w:rPr>
              <w:t xml:space="preserve">3.5 </w:t>
            </w:r>
            <w:r w:rsidR="00530C26">
              <w:rPr>
                <w:lang w:eastAsia="es-CO"/>
              </w:rPr>
              <w:t>años</w:t>
            </w:r>
          </w:p>
        </w:tc>
        <w:tc>
          <w:tcPr>
            <w:tcW w:w="1487" w:type="dxa"/>
            <w:tcBorders>
              <w:top w:val="nil"/>
              <w:left w:val="nil"/>
              <w:bottom w:val="single" w:sz="4" w:space="0" w:color="auto"/>
              <w:right w:val="single" w:sz="4" w:space="0" w:color="auto"/>
            </w:tcBorders>
            <w:shd w:val="clear" w:color="000000" w:fill="FFFFFF"/>
            <w:noWrap/>
            <w:vAlign w:val="center"/>
            <w:hideMark/>
          </w:tcPr>
          <w:p w14:paraId="2AFB6265" w14:textId="34022F83" w:rsidR="001F23C2" w:rsidRPr="001F23C2" w:rsidRDefault="001F23C2" w:rsidP="00160CA8">
            <w:pPr>
              <w:jc w:val="center"/>
              <w:rPr>
                <w:lang w:eastAsia="es-CO"/>
              </w:rPr>
            </w:pPr>
            <w:r w:rsidRPr="001F23C2">
              <w:rPr>
                <w:lang w:eastAsia="es-CO"/>
              </w:rPr>
              <w:t xml:space="preserve">4.5 </w:t>
            </w:r>
            <w:r w:rsidR="00530C26">
              <w:rPr>
                <w:lang w:eastAsia="es-CO"/>
              </w:rPr>
              <w:t>años</w:t>
            </w:r>
          </w:p>
        </w:tc>
        <w:tc>
          <w:tcPr>
            <w:tcW w:w="1487" w:type="dxa"/>
            <w:tcBorders>
              <w:top w:val="nil"/>
              <w:left w:val="nil"/>
              <w:bottom w:val="single" w:sz="4" w:space="0" w:color="auto"/>
              <w:right w:val="single" w:sz="4" w:space="0" w:color="auto"/>
            </w:tcBorders>
            <w:shd w:val="clear" w:color="000000" w:fill="FFFFFF"/>
            <w:noWrap/>
            <w:vAlign w:val="center"/>
            <w:hideMark/>
          </w:tcPr>
          <w:p w14:paraId="08FA8ED1" w14:textId="300BF9AE" w:rsidR="001F23C2" w:rsidRPr="001F23C2" w:rsidRDefault="001F23C2" w:rsidP="00160CA8">
            <w:pPr>
              <w:jc w:val="center"/>
              <w:rPr>
                <w:lang w:eastAsia="es-CO"/>
              </w:rPr>
            </w:pPr>
            <w:r w:rsidRPr="001F23C2">
              <w:rPr>
                <w:lang w:eastAsia="es-CO"/>
              </w:rPr>
              <w:t xml:space="preserve">5.5 </w:t>
            </w:r>
            <w:r w:rsidR="00530C26">
              <w:rPr>
                <w:lang w:eastAsia="es-CO"/>
              </w:rPr>
              <w:t>años</w:t>
            </w:r>
          </w:p>
        </w:tc>
        <w:tc>
          <w:tcPr>
            <w:tcW w:w="1539" w:type="dxa"/>
            <w:tcBorders>
              <w:top w:val="nil"/>
              <w:left w:val="nil"/>
              <w:bottom w:val="single" w:sz="4" w:space="0" w:color="auto"/>
              <w:right w:val="single" w:sz="4" w:space="0" w:color="auto"/>
            </w:tcBorders>
            <w:shd w:val="clear" w:color="000000" w:fill="FFFFFF"/>
            <w:noWrap/>
            <w:vAlign w:val="center"/>
            <w:hideMark/>
          </w:tcPr>
          <w:p w14:paraId="0F459E67" w14:textId="4C1E2724" w:rsidR="001F23C2" w:rsidRPr="001F23C2" w:rsidRDefault="001F23C2" w:rsidP="00160CA8">
            <w:pPr>
              <w:jc w:val="center"/>
              <w:rPr>
                <w:lang w:eastAsia="es-CO"/>
              </w:rPr>
            </w:pPr>
            <w:r w:rsidRPr="001F23C2">
              <w:rPr>
                <w:lang w:eastAsia="es-CO"/>
              </w:rPr>
              <w:t xml:space="preserve">6.5 </w:t>
            </w:r>
            <w:r w:rsidR="00530C26">
              <w:rPr>
                <w:lang w:eastAsia="es-CO"/>
              </w:rPr>
              <w:t>años</w:t>
            </w:r>
          </w:p>
        </w:tc>
      </w:tr>
    </w:tbl>
    <w:p w14:paraId="640278CD" w14:textId="74DB50DD" w:rsidR="001F23C2" w:rsidRDefault="001F23C2" w:rsidP="00A75EBC"/>
    <w:tbl>
      <w:tblPr>
        <w:tblW w:w="9166" w:type="dxa"/>
        <w:tblCellMar>
          <w:left w:w="70" w:type="dxa"/>
          <w:right w:w="70" w:type="dxa"/>
        </w:tblCellMar>
        <w:tblLook w:val="04A0" w:firstRow="1" w:lastRow="0" w:firstColumn="1" w:lastColumn="0" w:noHBand="0" w:noVBand="1"/>
      </w:tblPr>
      <w:tblGrid>
        <w:gridCol w:w="1434"/>
        <w:gridCol w:w="1158"/>
        <w:gridCol w:w="1231"/>
        <w:gridCol w:w="1245"/>
        <w:gridCol w:w="1245"/>
        <w:gridCol w:w="1289"/>
        <w:gridCol w:w="1564"/>
      </w:tblGrid>
      <w:tr w:rsidR="001F23C2" w:rsidRPr="001F23C2" w14:paraId="5C0F3AFB" w14:textId="77777777" w:rsidTr="00910BDB">
        <w:trPr>
          <w:trHeight w:val="258"/>
        </w:trPr>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D5555B" w14:textId="77777777" w:rsidR="001F23C2" w:rsidRPr="001F23C2" w:rsidRDefault="001F23C2" w:rsidP="00A75EBC">
            <w:pPr>
              <w:rPr>
                <w:lang w:eastAsia="es-CO"/>
              </w:rPr>
            </w:pPr>
            <w:r w:rsidRPr="001F23C2">
              <w:rPr>
                <w:lang w:eastAsia="es-CO"/>
              </w:rPr>
              <w:t>Banda de tiempo K</w:t>
            </w:r>
          </w:p>
        </w:tc>
        <w:tc>
          <w:tcPr>
            <w:tcW w:w="1158" w:type="dxa"/>
            <w:tcBorders>
              <w:top w:val="single" w:sz="4" w:space="0" w:color="auto"/>
              <w:left w:val="nil"/>
              <w:bottom w:val="single" w:sz="4" w:space="0" w:color="auto"/>
              <w:right w:val="single" w:sz="4" w:space="0" w:color="auto"/>
            </w:tcBorders>
            <w:shd w:val="clear" w:color="000000" w:fill="FFFFFF"/>
            <w:noWrap/>
            <w:vAlign w:val="center"/>
            <w:hideMark/>
          </w:tcPr>
          <w:p w14:paraId="65388D2D" w14:textId="7429C8A2" w:rsidR="001F23C2" w:rsidRPr="001F23C2" w:rsidRDefault="001F23C2" w:rsidP="00A75EBC">
            <w:pPr>
              <w:rPr>
                <w:lang w:eastAsia="es-CO"/>
              </w:rPr>
            </w:pPr>
            <w:r w:rsidRPr="001F23C2">
              <w:rPr>
                <w:lang w:eastAsia="es-CO"/>
              </w:rPr>
              <w:t xml:space="preserve">7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8 años</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14:paraId="458CE0C6" w14:textId="4693D2A8" w:rsidR="001F23C2" w:rsidRPr="001F23C2" w:rsidRDefault="001F23C2" w:rsidP="00A75EBC">
            <w:pPr>
              <w:rPr>
                <w:lang w:eastAsia="es-CO"/>
              </w:rPr>
            </w:pPr>
            <w:r w:rsidRPr="001F23C2">
              <w:rPr>
                <w:lang w:eastAsia="es-CO"/>
              </w:rPr>
              <w:t>8</w:t>
            </w:r>
            <w:r w:rsidR="00481BF2">
              <w:rPr>
                <w:lang w:eastAsia="es-CO"/>
              </w:rPr>
              <w:t xml:space="preserve"> 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Pr="001F23C2">
              <w:rPr>
                <w:lang w:eastAsia="es-CO"/>
              </w:rPr>
              <w:t xml:space="preserve"> ≤ 9 años</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14:paraId="4897D536" w14:textId="5705034C" w:rsidR="001F23C2" w:rsidRPr="001F23C2" w:rsidRDefault="001F23C2" w:rsidP="00A75EBC">
            <w:pPr>
              <w:rPr>
                <w:lang w:eastAsia="es-CO"/>
              </w:rPr>
            </w:pPr>
            <w:r w:rsidRPr="001F23C2">
              <w:rPr>
                <w:lang w:eastAsia="es-CO"/>
              </w:rPr>
              <w:t xml:space="preserve">9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10 años</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14:paraId="03DB44D3" w14:textId="5198F4FF" w:rsidR="001F23C2" w:rsidRPr="001F23C2" w:rsidRDefault="001F23C2" w:rsidP="00A75EBC">
            <w:pPr>
              <w:rPr>
                <w:lang w:eastAsia="es-CO"/>
              </w:rPr>
            </w:pPr>
            <w:r w:rsidRPr="001F23C2">
              <w:rPr>
                <w:lang w:eastAsia="es-CO"/>
              </w:rPr>
              <w:t xml:space="preserve">10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15 años</w:t>
            </w:r>
          </w:p>
        </w:tc>
        <w:tc>
          <w:tcPr>
            <w:tcW w:w="1289" w:type="dxa"/>
            <w:tcBorders>
              <w:top w:val="single" w:sz="4" w:space="0" w:color="auto"/>
              <w:left w:val="nil"/>
              <w:bottom w:val="single" w:sz="4" w:space="0" w:color="auto"/>
              <w:right w:val="single" w:sz="4" w:space="0" w:color="auto"/>
            </w:tcBorders>
            <w:shd w:val="clear" w:color="000000" w:fill="FFFFFF"/>
            <w:noWrap/>
            <w:vAlign w:val="center"/>
            <w:hideMark/>
          </w:tcPr>
          <w:p w14:paraId="0DEBFBB7" w14:textId="1C586633" w:rsidR="001F23C2" w:rsidRPr="001F23C2" w:rsidRDefault="001F23C2" w:rsidP="00A75EBC">
            <w:pPr>
              <w:rPr>
                <w:lang w:eastAsia="es-CO"/>
              </w:rPr>
            </w:pPr>
            <w:r w:rsidRPr="001F23C2">
              <w:rPr>
                <w:lang w:eastAsia="es-CO"/>
              </w:rPr>
              <w:t xml:space="preserve">15 </w:t>
            </w:r>
            <w:r w:rsidR="00481BF2">
              <w:rPr>
                <w:lang w:eastAsia="es-CO"/>
              </w:rPr>
              <w:t>años &lt;</w:t>
            </w:r>
            <w:r w:rsidR="00481BF2" w:rsidRPr="001F23C2">
              <w:rPr>
                <w:lang w:eastAsia="es-CO"/>
              </w:rPr>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81BF2" w:rsidRPr="001F23C2">
              <w:rPr>
                <w:lang w:eastAsia="es-CO"/>
              </w:rPr>
              <w:t xml:space="preserve"> </w:t>
            </w:r>
            <w:r w:rsidRPr="001F23C2">
              <w:rPr>
                <w:lang w:eastAsia="es-CO"/>
              </w:rPr>
              <w:t>≤ 20 años</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14:paraId="312463A3" w14:textId="16847709" w:rsidR="001F23C2" w:rsidRPr="001F23C2" w:rsidRDefault="00E41B2D" w:rsidP="00A75EBC">
            <w:pPr>
              <w:rPr>
                <w:lang w:eastAsia="es-CO"/>
              </w:rPr>
            </w:pP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1F23C2" w:rsidRPr="001F23C2">
              <w:rPr>
                <w:lang w:eastAsia="es-CO"/>
              </w:rPr>
              <w:t xml:space="preserve"> </w:t>
            </w:r>
            <w:r w:rsidR="00481BF2">
              <w:rPr>
                <w:lang w:eastAsia="es-CO"/>
              </w:rPr>
              <w:t xml:space="preserve">&gt; </w:t>
            </w:r>
            <w:r w:rsidR="001F23C2" w:rsidRPr="001F23C2">
              <w:rPr>
                <w:lang w:eastAsia="es-CO"/>
              </w:rPr>
              <w:t>20 años</w:t>
            </w:r>
          </w:p>
        </w:tc>
      </w:tr>
      <w:tr w:rsidR="001F23C2" w:rsidRPr="001F23C2" w14:paraId="7C431747" w14:textId="77777777" w:rsidTr="00910BDB">
        <w:trPr>
          <w:trHeight w:val="258"/>
        </w:trPr>
        <w:tc>
          <w:tcPr>
            <w:tcW w:w="1434" w:type="dxa"/>
            <w:tcBorders>
              <w:top w:val="nil"/>
              <w:left w:val="single" w:sz="4" w:space="0" w:color="auto"/>
              <w:bottom w:val="single" w:sz="4" w:space="0" w:color="auto"/>
              <w:right w:val="single" w:sz="4" w:space="0" w:color="auto"/>
            </w:tcBorders>
            <w:shd w:val="clear" w:color="000000" w:fill="FFFFFF"/>
            <w:noWrap/>
            <w:vAlign w:val="center"/>
            <w:hideMark/>
          </w:tcPr>
          <w:p w14:paraId="4F56960F" w14:textId="7ACAFEE8" w:rsidR="001F23C2" w:rsidRPr="001F23C2" w:rsidRDefault="001F23C2" w:rsidP="00A75EBC">
            <w:pPr>
              <w:rPr>
                <w:lang w:eastAsia="es-CO"/>
              </w:rPr>
            </w:pPr>
            <w:r w:rsidRPr="001F23C2">
              <w:rPr>
                <w:lang w:eastAsia="es-CO"/>
              </w:rPr>
              <w:t xml:space="preserve">Punto medio </w:t>
            </w: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k</m:t>
                  </m:r>
                </m:sub>
              </m:sSub>
            </m:oMath>
          </w:p>
        </w:tc>
        <w:tc>
          <w:tcPr>
            <w:tcW w:w="1158" w:type="dxa"/>
            <w:tcBorders>
              <w:top w:val="nil"/>
              <w:left w:val="nil"/>
              <w:bottom w:val="single" w:sz="4" w:space="0" w:color="auto"/>
              <w:right w:val="single" w:sz="4" w:space="0" w:color="auto"/>
            </w:tcBorders>
            <w:shd w:val="clear" w:color="000000" w:fill="FFFFFF"/>
            <w:noWrap/>
            <w:vAlign w:val="center"/>
            <w:hideMark/>
          </w:tcPr>
          <w:p w14:paraId="47C7A659" w14:textId="0EBBAEDE" w:rsidR="001F23C2" w:rsidRPr="001F23C2" w:rsidRDefault="001F23C2" w:rsidP="00160CA8">
            <w:pPr>
              <w:jc w:val="center"/>
              <w:rPr>
                <w:lang w:eastAsia="es-CO"/>
              </w:rPr>
            </w:pPr>
            <w:r w:rsidRPr="001F23C2">
              <w:rPr>
                <w:lang w:eastAsia="es-CO"/>
              </w:rPr>
              <w:t xml:space="preserve">7.5 </w:t>
            </w:r>
            <w:r w:rsidR="00530C26">
              <w:rPr>
                <w:lang w:eastAsia="es-CO"/>
              </w:rPr>
              <w:t>años</w:t>
            </w:r>
          </w:p>
        </w:tc>
        <w:tc>
          <w:tcPr>
            <w:tcW w:w="1231" w:type="dxa"/>
            <w:tcBorders>
              <w:top w:val="nil"/>
              <w:left w:val="nil"/>
              <w:bottom w:val="single" w:sz="4" w:space="0" w:color="auto"/>
              <w:right w:val="single" w:sz="4" w:space="0" w:color="auto"/>
            </w:tcBorders>
            <w:shd w:val="clear" w:color="000000" w:fill="FFFFFF"/>
            <w:noWrap/>
            <w:vAlign w:val="center"/>
            <w:hideMark/>
          </w:tcPr>
          <w:p w14:paraId="5145898F" w14:textId="32EAF389" w:rsidR="001F23C2" w:rsidRPr="001F23C2" w:rsidRDefault="001F23C2" w:rsidP="00160CA8">
            <w:pPr>
              <w:jc w:val="center"/>
              <w:rPr>
                <w:lang w:eastAsia="es-CO"/>
              </w:rPr>
            </w:pPr>
            <w:r w:rsidRPr="001F23C2">
              <w:rPr>
                <w:lang w:eastAsia="es-CO"/>
              </w:rPr>
              <w:t xml:space="preserve">8.5 </w:t>
            </w:r>
            <w:r w:rsidR="00530C26">
              <w:rPr>
                <w:lang w:eastAsia="es-CO"/>
              </w:rPr>
              <w:t>años</w:t>
            </w:r>
          </w:p>
        </w:tc>
        <w:tc>
          <w:tcPr>
            <w:tcW w:w="1245" w:type="dxa"/>
            <w:tcBorders>
              <w:top w:val="nil"/>
              <w:left w:val="nil"/>
              <w:bottom w:val="single" w:sz="4" w:space="0" w:color="auto"/>
              <w:right w:val="single" w:sz="4" w:space="0" w:color="auto"/>
            </w:tcBorders>
            <w:shd w:val="clear" w:color="000000" w:fill="FFFFFF"/>
            <w:noWrap/>
            <w:vAlign w:val="center"/>
            <w:hideMark/>
          </w:tcPr>
          <w:p w14:paraId="73BB1BFF" w14:textId="3E024E6A" w:rsidR="001F23C2" w:rsidRPr="001F23C2" w:rsidRDefault="001F23C2" w:rsidP="00160CA8">
            <w:pPr>
              <w:jc w:val="center"/>
              <w:rPr>
                <w:lang w:eastAsia="es-CO"/>
              </w:rPr>
            </w:pPr>
            <w:r w:rsidRPr="001F23C2">
              <w:rPr>
                <w:lang w:eastAsia="es-CO"/>
              </w:rPr>
              <w:t xml:space="preserve">9.5 </w:t>
            </w:r>
            <w:r w:rsidR="00530C26">
              <w:rPr>
                <w:lang w:eastAsia="es-CO"/>
              </w:rPr>
              <w:t>años</w:t>
            </w:r>
          </w:p>
        </w:tc>
        <w:tc>
          <w:tcPr>
            <w:tcW w:w="1245" w:type="dxa"/>
            <w:tcBorders>
              <w:top w:val="nil"/>
              <w:left w:val="nil"/>
              <w:bottom w:val="single" w:sz="4" w:space="0" w:color="auto"/>
              <w:right w:val="single" w:sz="4" w:space="0" w:color="auto"/>
            </w:tcBorders>
            <w:shd w:val="clear" w:color="000000" w:fill="FFFFFF"/>
            <w:noWrap/>
            <w:vAlign w:val="center"/>
            <w:hideMark/>
          </w:tcPr>
          <w:p w14:paraId="6C2DF8CD" w14:textId="5AC3A866" w:rsidR="001F23C2" w:rsidRPr="001F23C2" w:rsidRDefault="001F23C2" w:rsidP="00160CA8">
            <w:pPr>
              <w:jc w:val="center"/>
              <w:rPr>
                <w:lang w:eastAsia="es-CO"/>
              </w:rPr>
            </w:pPr>
            <w:r w:rsidRPr="001F23C2">
              <w:rPr>
                <w:lang w:eastAsia="es-CO"/>
              </w:rPr>
              <w:t xml:space="preserve">12.5 </w:t>
            </w:r>
            <w:r w:rsidR="00530C26">
              <w:rPr>
                <w:lang w:eastAsia="es-CO"/>
              </w:rPr>
              <w:t>años</w:t>
            </w:r>
          </w:p>
        </w:tc>
        <w:tc>
          <w:tcPr>
            <w:tcW w:w="1289" w:type="dxa"/>
            <w:tcBorders>
              <w:top w:val="nil"/>
              <w:left w:val="nil"/>
              <w:bottom w:val="single" w:sz="4" w:space="0" w:color="auto"/>
              <w:right w:val="single" w:sz="4" w:space="0" w:color="auto"/>
            </w:tcBorders>
            <w:shd w:val="clear" w:color="000000" w:fill="FFFFFF"/>
            <w:noWrap/>
            <w:vAlign w:val="center"/>
            <w:hideMark/>
          </w:tcPr>
          <w:p w14:paraId="3AAEB15B" w14:textId="310443DC" w:rsidR="001F23C2" w:rsidRPr="001F23C2" w:rsidRDefault="001F23C2" w:rsidP="00160CA8">
            <w:pPr>
              <w:jc w:val="center"/>
              <w:rPr>
                <w:lang w:eastAsia="es-CO"/>
              </w:rPr>
            </w:pPr>
            <w:r w:rsidRPr="001F23C2">
              <w:rPr>
                <w:lang w:eastAsia="es-CO"/>
              </w:rPr>
              <w:t xml:space="preserve">17.5 </w:t>
            </w:r>
            <w:r w:rsidR="00530C26">
              <w:rPr>
                <w:lang w:eastAsia="es-CO"/>
              </w:rPr>
              <w:t>años</w:t>
            </w:r>
          </w:p>
        </w:tc>
        <w:tc>
          <w:tcPr>
            <w:tcW w:w="1564" w:type="dxa"/>
            <w:tcBorders>
              <w:top w:val="nil"/>
              <w:left w:val="nil"/>
              <w:bottom w:val="single" w:sz="4" w:space="0" w:color="auto"/>
              <w:right w:val="single" w:sz="4" w:space="0" w:color="auto"/>
            </w:tcBorders>
            <w:shd w:val="clear" w:color="000000" w:fill="FFFFFF"/>
            <w:noWrap/>
            <w:vAlign w:val="center"/>
            <w:hideMark/>
          </w:tcPr>
          <w:p w14:paraId="5AD6C4A7" w14:textId="498DC5BF" w:rsidR="001F23C2" w:rsidRPr="001F23C2" w:rsidRDefault="001F23C2" w:rsidP="00160CA8">
            <w:pPr>
              <w:jc w:val="center"/>
              <w:rPr>
                <w:lang w:eastAsia="es-CO"/>
              </w:rPr>
            </w:pPr>
            <w:r w:rsidRPr="001F23C2">
              <w:rPr>
                <w:lang w:eastAsia="es-CO"/>
              </w:rPr>
              <w:t xml:space="preserve">25 </w:t>
            </w:r>
            <w:r w:rsidR="00530C26">
              <w:rPr>
                <w:lang w:eastAsia="es-CO"/>
              </w:rPr>
              <w:t>años</w:t>
            </w:r>
          </w:p>
        </w:tc>
      </w:tr>
    </w:tbl>
    <w:p w14:paraId="5B9709A3" w14:textId="0E1306F4" w:rsidR="001F23C2" w:rsidRDefault="001F23C2" w:rsidP="00A75EBC"/>
    <w:p w14:paraId="65ABA77F" w14:textId="146E5EDC" w:rsidR="00645C6F" w:rsidRDefault="005C61CA" w:rsidP="00A75EBC">
      <w:pPr>
        <w:pStyle w:val="Ttulo1"/>
      </w:pPr>
      <w:r>
        <w:t>Asignación de f</w:t>
      </w:r>
      <w:r w:rsidR="0045653D" w:rsidRPr="00645C6F">
        <w:t>lujo</w:t>
      </w:r>
      <w:r w:rsidR="0022226C">
        <w:t>s</w:t>
      </w:r>
      <w:r>
        <w:t xml:space="preserve"> de efectivo</w:t>
      </w:r>
    </w:p>
    <w:p w14:paraId="6939D285" w14:textId="58ED7A03" w:rsidR="005C61CA" w:rsidRDefault="005C61CA" w:rsidP="005C61CA"/>
    <w:p w14:paraId="486FEB94" w14:textId="02D7A527" w:rsidR="005C61CA" w:rsidRDefault="005C61CA" w:rsidP="005C61CA">
      <w:r>
        <w:t>Las entidades deben proyectar todos los flujos de efectivo nocionales futuros a precios revisados que surjan de los activos, pasivos y partidas fuera de balance sensibles a las variaciones de las tasas de interés en:</w:t>
      </w:r>
    </w:p>
    <w:p w14:paraId="25E779F3" w14:textId="77777777" w:rsidR="00FF4FE4" w:rsidRDefault="00FF4FE4" w:rsidP="005C61CA"/>
    <w:p w14:paraId="0E83FEA7" w14:textId="79F33783" w:rsidR="001740AA" w:rsidRPr="001740AA" w:rsidRDefault="005C61CA" w:rsidP="00A86914">
      <w:pPr>
        <w:pStyle w:val="Prrafodelista"/>
        <w:numPr>
          <w:ilvl w:val="0"/>
          <w:numId w:val="11"/>
        </w:numPr>
        <w:tabs>
          <w:tab w:val="clear" w:pos="720"/>
        </w:tabs>
        <w:ind w:left="567" w:hanging="207"/>
      </w:pPr>
      <w:r w:rsidRPr="001740AA">
        <w:t xml:space="preserve">19 bandas de tiempo señaladas en la Tabla 4 del </w:t>
      </w:r>
      <w:proofErr w:type="spellStart"/>
      <w:r w:rsidRPr="001740AA">
        <w:t>subnumeral</w:t>
      </w:r>
      <w:proofErr w:type="spellEnd"/>
      <w:r w:rsidRPr="001740AA">
        <w:t xml:space="preserve"> 2.2.</w:t>
      </w:r>
      <w:r w:rsidR="00FF4FE4" w:rsidRPr="001740AA">
        <w:t>, o</w:t>
      </w:r>
    </w:p>
    <w:p w14:paraId="5606FE9E" w14:textId="14D01A0C" w:rsidR="00FF4FE4" w:rsidRPr="001740AA" w:rsidRDefault="00FF4FE4" w:rsidP="00A86914">
      <w:pPr>
        <w:pStyle w:val="Prrafodelista"/>
        <w:numPr>
          <w:ilvl w:val="0"/>
          <w:numId w:val="11"/>
        </w:numPr>
        <w:tabs>
          <w:tab w:val="clear" w:pos="720"/>
        </w:tabs>
        <w:ind w:left="567" w:hanging="207"/>
      </w:pPr>
      <w:r w:rsidRPr="001740AA">
        <w:t xml:space="preserve">Los puntos medios de las bandas de tiempo señaladas en la Tabla 4 del </w:t>
      </w:r>
      <w:proofErr w:type="spellStart"/>
      <w:r w:rsidRPr="001740AA">
        <w:t>subnumeral</w:t>
      </w:r>
      <w:proofErr w:type="spellEnd"/>
      <w:r w:rsidRPr="001740AA">
        <w:t xml:space="preserve"> 2.2, manteniendo el vencimiento de los flujos de efectivo nocionales a precios revisados.</w:t>
      </w:r>
    </w:p>
    <w:p w14:paraId="66327FE3" w14:textId="1ACBF435" w:rsidR="003D69F9" w:rsidRDefault="003D69F9" w:rsidP="003D69F9"/>
    <w:p w14:paraId="7CEE26AC" w14:textId="1F664BB6" w:rsidR="003D69F9" w:rsidRDefault="003D69F9" w:rsidP="003D69F9">
      <w:r>
        <w:t>Para calcular el valor de las exposiciones: Los activos que se deben considerar son aquellos que no se deducen d</w:t>
      </w:r>
      <w:r w:rsidR="005C61CA">
        <w:t>e la solvencia básica adicional</w:t>
      </w:r>
      <w:r>
        <w:t>, excluyendo los activos fijos (como bienes inmuebles o activos intangibles). Los pasivos deben incluir también todos los depósitos.</w:t>
      </w:r>
    </w:p>
    <w:p w14:paraId="3BD88867" w14:textId="77777777" w:rsidR="003C284D" w:rsidRDefault="003C284D" w:rsidP="003D69F9"/>
    <w:p w14:paraId="3EE53447" w14:textId="7CF59947" w:rsidR="00A3374F" w:rsidRDefault="0022226C" w:rsidP="00A75EBC">
      <w:r>
        <w:t>L</w:t>
      </w:r>
      <w:r w:rsidR="00C244AB" w:rsidRPr="00645C6F">
        <w:t>a entidad debe tener en cuenta</w:t>
      </w:r>
      <w:r w:rsidR="0045653D" w:rsidRPr="00645C6F">
        <w:t xml:space="preserve"> lo siguiente</w:t>
      </w:r>
      <w:r w:rsidR="00910BDB">
        <w:t>:</w:t>
      </w:r>
    </w:p>
    <w:p w14:paraId="6670DC0C" w14:textId="0178B060" w:rsidR="0045653D" w:rsidRPr="00645C6F" w:rsidRDefault="0045653D" w:rsidP="00A75EBC"/>
    <w:p w14:paraId="6C96566F" w14:textId="73F175A0" w:rsidR="00A3374F" w:rsidRDefault="00A0588C" w:rsidP="00B047AC">
      <w:pPr>
        <w:pStyle w:val="Prrafodelista"/>
        <w:numPr>
          <w:ilvl w:val="0"/>
          <w:numId w:val="12"/>
        </w:numPr>
        <w:ind w:left="284" w:hanging="284"/>
      </w:pPr>
      <w:r w:rsidRPr="00A0588C">
        <w:t xml:space="preserve">Un flujo de </w:t>
      </w:r>
      <w:r w:rsidR="00FF4FE4">
        <w:t>efectivo</w:t>
      </w:r>
      <w:r w:rsidRPr="00A0588C">
        <w:t xml:space="preserve"> nocional </w:t>
      </w:r>
      <w:r w:rsidR="00FF4FE4">
        <w:t>a precios revisados</w:t>
      </w:r>
      <w:r w:rsidR="00D925C0" w:rsidRPr="00F36999">
        <w:t xml:space="preserve"> </w:t>
      </w:r>
      <m:oMath>
        <m:r>
          <w:rPr>
            <w:rFonts w:ascii="Cambria Math" w:hAnsi="Cambria Math"/>
          </w:rPr>
          <m:t>FC(</m:t>
        </m:r>
        <m:sSub>
          <m:sSubPr>
            <m:ctrlPr>
              <w:rPr>
                <w:rFonts w:ascii="Cambria Math" w:hAnsi="Cambria Math"/>
                <w:i/>
              </w:rPr>
            </m:ctrlPr>
          </m:sSubPr>
          <m:e>
            <m:r>
              <w:rPr>
                <w:rFonts w:ascii="Cambria Math" w:hAnsi="Cambria Math"/>
              </w:rPr>
              <m:t>t</m:t>
            </m:r>
          </m:e>
          <m:sub>
            <m:r>
              <w:rPr>
                <w:rFonts w:ascii="Cambria Math" w:hAnsi="Cambria Math"/>
              </w:rPr>
              <m:t>k</m:t>
            </m:r>
          </m:sub>
        </m:sSub>
        <m:r>
          <m:rPr>
            <m:sty m:val="p"/>
          </m:rPr>
          <w:rPr>
            <w:rFonts w:ascii="Cambria Math" w:hAnsi="Cambria Math"/>
          </w:rPr>
          <m:t>)</m:t>
        </m:r>
      </m:oMath>
      <w:r w:rsidR="00AB74EF">
        <w:t xml:space="preserve">, </w:t>
      </w:r>
      <w:r>
        <w:t>se define como</w:t>
      </w:r>
      <w:r w:rsidR="00D925C0" w:rsidRPr="00F36999">
        <w:t>:</w:t>
      </w:r>
    </w:p>
    <w:p w14:paraId="41F6FD43" w14:textId="77777777" w:rsidR="00A3374F" w:rsidRPr="00F36999" w:rsidRDefault="00A3374F" w:rsidP="00835609"/>
    <w:p w14:paraId="2ED09215" w14:textId="35F0D222" w:rsidR="000E31A2" w:rsidRDefault="00D925C0" w:rsidP="00EE1E47">
      <w:pPr>
        <w:pStyle w:val="Prrafodelista"/>
        <w:numPr>
          <w:ilvl w:val="0"/>
          <w:numId w:val="10"/>
        </w:numPr>
        <w:ind w:left="567" w:hanging="283"/>
      </w:pPr>
      <w:r w:rsidRPr="00F36999">
        <w:t>Cualquier pago del principal (por ejemplo, al vencimiento contractual).</w:t>
      </w:r>
    </w:p>
    <w:p w14:paraId="5977FA28" w14:textId="767CE834" w:rsidR="000E31A2" w:rsidRDefault="00D925C0" w:rsidP="00EE1E47">
      <w:pPr>
        <w:pStyle w:val="Prrafodelista"/>
        <w:numPr>
          <w:ilvl w:val="0"/>
          <w:numId w:val="10"/>
        </w:numPr>
        <w:ind w:left="567" w:hanging="283"/>
      </w:pPr>
      <w:r w:rsidRPr="00F36999">
        <w:t xml:space="preserve">Cualquier </w:t>
      </w:r>
      <w:proofErr w:type="spellStart"/>
      <w:r w:rsidRPr="00F36999">
        <w:t>reprecio</w:t>
      </w:r>
      <w:proofErr w:type="spellEnd"/>
      <w:r w:rsidRPr="00F36999">
        <w:t xml:space="preserve"> del principal</w:t>
      </w:r>
      <w:r w:rsidR="003B6238" w:rsidRPr="00F36999">
        <w:t xml:space="preserve"> que puede </w:t>
      </w:r>
      <w:r w:rsidRPr="00F36999">
        <w:t>ocurr</w:t>
      </w:r>
      <w:r w:rsidR="003B6238" w:rsidRPr="00F36999">
        <w:t>ir</w:t>
      </w:r>
      <w:r w:rsidRPr="00F36999">
        <w:t xml:space="preserve"> en la fecha más temprana en la que </w:t>
      </w:r>
      <w:r w:rsidR="00E01A06">
        <w:t>la entidad</w:t>
      </w:r>
      <w:r w:rsidRPr="00F36999">
        <w:t xml:space="preserve"> o su contraparte tiene derecho a cambiar unilateralmente la tasa de interés, o en la que la tasa de un instrumento de tasa </w:t>
      </w:r>
      <w:r w:rsidR="0022226C">
        <w:t>variable</w:t>
      </w:r>
      <w:r w:rsidRPr="00F36999">
        <w:t xml:space="preserve"> cambia automáticamente en respuesta a un cambio en un índice de referencia externo.</w:t>
      </w:r>
    </w:p>
    <w:p w14:paraId="370AA68F" w14:textId="6CC09D50" w:rsidR="0057686F" w:rsidRDefault="00D925C0" w:rsidP="00EE1E47">
      <w:pPr>
        <w:pStyle w:val="Prrafodelista"/>
        <w:numPr>
          <w:ilvl w:val="0"/>
          <w:numId w:val="10"/>
        </w:numPr>
        <w:ind w:left="567" w:hanging="283"/>
      </w:pPr>
      <w:r w:rsidRPr="00AB74EF">
        <w:t xml:space="preserve">Cualquier pago de intereses sobre un tramo del principal que aún no se haya </w:t>
      </w:r>
      <w:r w:rsidR="00AB74EF" w:rsidRPr="00AB74EF">
        <w:t>reembolsado</w:t>
      </w:r>
      <w:r w:rsidRPr="00AB74EF">
        <w:t xml:space="preserve"> o </w:t>
      </w:r>
      <w:proofErr w:type="spellStart"/>
      <w:r w:rsidRPr="00AB74EF">
        <w:t>repreciado</w:t>
      </w:r>
      <w:proofErr w:type="spellEnd"/>
      <w:r w:rsidR="00C478E7" w:rsidRPr="00AB74EF">
        <w:t>. Los</w:t>
      </w:r>
      <w:r w:rsidRPr="00AB74EF">
        <w:t xml:space="preserve"> componentes del margen de los pagos de intereses sobre un tramo de principal que aún no ha sido pagado y que no se revaloriza deben </w:t>
      </w:r>
      <w:r w:rsidR="00FF4FE4">
        <w:t>asignarse</w:t>
      </w:r>
      <w:r w:rsidRPr="00AB74EF">
        <w:t xml:space="preserve"> hasta su vencimiento contractual, independientemente de si el principal no amortizado se ha </w:t>
      </w:r>
      <w:proofErr w:type="spellStart"/>
      <w:r w:rsidRPr="00AB74EF">
        <w:t>repreciado</w:t>
      </w:r>
      <w:proofErr w:type="spellEnd"/>
      <w:r w:rsidRPr="00AB74EF">
        <w:t xml:space="preserve"> o no.</w:t>
      </w:r>
    </w:p>
    <w:p w14:paraId="79C107FB" w14:textId="77777777" w:rsidR="000E31A2" w:rsidRPr="00F36999" w:rsidRDefault="000E31A2" w:rsidP="000E31A2"/>
    <w:p w14:paraId="0A2FFC53" w14:textId="3FC93634" w:rsidR="00A2688B" w:rsidRPr="00F36999" w:rsidRDefault="00E27D11" w:rsidP="00B047AC">
      <w:pPr>
        <w:pStyle w:val="Prrafodelista"/>
        <w:numPr>
          <w:ilvl w:val="0"/>
          <w:numId w:val="12"/>
        </w:numPr>
        <w:ind w:left="284" w:hanging="284"/>
      </w:pPr>
      <w:r w:rsidRPr="00F36999">
        <w:t xml:space="preserve">La fecha de cada pago, </w:t>
      </w:r>
      <w:proofErr w:type="spellStart"/>
      <w:r w:rsidRPr="00F36999">
        <w:t>reprecio</w:t>
      </w:r>
      <w:proofErr w:type="spellEnd"/>
      <w:r w:rsidRPr="00F36999">
        <w:t xml:space="preserve"> o pago de intereses se denomina fecha de </w:t>
      </w:r>
      <w:proofErr w:type="spellStart"/>
      <w:r w:rsidRPr="00F36999">
        <w:t>reprecio</w:t>
      </w:r>
      <w:proofErr w:type="spellEnd"/>
      <w:r w:rsidRPr="00F36999">
        <w:t>.</w:t>
      </w:r>
    </w:p>
    <w:p w14:paraId="350AB637" w14:textId="56A256D9" w:rsidR="00C0656A" w:rsidRPr="00F36999" w:rsidRDefault="00E27D11" w:rsidP="00B047AC">
      <w:pPr>
        <w:pStyle w:val="Prrafodelista"/>
        <w:numPr>
          <w:ilvl w:val="0"/>
          <w:numId w:val="12"/>
        </w:numPr>
        <w:ind w:left="284" w:hanging="284"/>
      </w:pPr>
      <w:r w:rsidRPr="00F36999">
        <w:t xml:space="preserve">Se asume que los instrumentos de tasa </w:t>
      </w:r>
      <w:r w:rsidR="003B48E4" w:rsidRPr="00F36999">
        <w:t xml:space="preserve">variable </w:t>
      </w:r>
      <w:r w:rsidRPr="00F36999">
        <w:t xml:space="preserve">cambiarán </w:t>
      </w:r>
      <w:r w:rsidR="003B48E4" w:rsidRPr="00F36999">
        <w:t>d</w:t>
      </w:r>
      <w:r w:rsidRPr="00F36999">
        <w:t>e precio por completo en la primera fecha de reajuste</w:t>
      </w:r>
      <w:r w:rsidR="003B48E4" w:rsidRPr="00F36999">
        <w:t xml:space="preserve"> de la tasa</w:t>
      </w:r>
      <w:r w:rsidRPr="00F36999">
        <w:t xml:space="preserve">. Por lo tanto, el monto total del principal se </w:t>
      </w:r>
      <w:r w:rsidR="003B48E4" w:rsidRPr="00F36999">
        <w:t>mapea</w:t>
      </w:r>
      <w:r w:rsidRPr="00F36999">
        <w:t xml:space="preserve"> en el </w:t>
      </w:r>
      <w:r w:rsidR="003B48E4" w:rsidRPr="00F36999">
        <w:t>punto medio de la banda</w:t>
      </w:r>
      <w:r w:rsidRPr="00F36999">
        <w:t xml:space="preserve"> en </w:t>
      </w:r>
      <w:r w:rsidR="00CB1112" w:rsidRPr="00F36999">
        <w:t>la</w:t>
      </w:r>
      <w:r w:rsidRPr="00F36999">
        <w:t xml:space="preserve"> que cae esa fecha, sin </w:t>
      </w:r>
      <w:r w:rsidR="003B48E4" w:rsidRPr="00F36999">
        <w:t xml:space="preserve">necesidad de un mapeo adicional de </w:t>
      </w:r>
      <w:r w:rsidRPr="00F36999">
        <w:t xml:space="preserve">flujos </w:t>
      </w:r>
      <w:r w:rsidR="003B48E4" w:rsidRPr="00F36999">
        <w:t>en</w:t>
      </w:r>
      <w:r w:rsidRPr="00F36999">
        <w:t xml:space="preserve"> bandas de tiempo posteriores.</w:t>
      </w:r>
    </w:p>
    <w:p w14:paraId="76B6B5C2" w14:textId="77777777" w:rsidR="008F2B8F" w:rsidRDefault="008F2B8F" w:rsidP="00835609"/>
    <w:p w14:paraId="574AECB9" w14:textId="4CCAE7B9" w:rsidR="00CD049D" w:rsidRDefault="0023787A" w:rsidP="00A75EBC">
      <w:pPr>
        <w:pStyle w:val="Ttulo1"/>
      </w:pPr>
      <w:r>
        <w:t>Proceso de asignación de las posiciones en función de la susceptibilidad a la estandarización</w:t>
      </w:r>
    </w:p>
    <w:p w14:paraId="287443F6" w14:textId="77777777" w:rsidR="00F338F2" w:rsidRDefault="00F338F2" w:rsidP="00835609"/>
    <w:p w14:paraId="7D3984F4" w14:textId="15E4DB12" w:rsidR="005379A7" w:rsidRDefault="005379A7" w:rsidP="00B047AC">
      <w:pPr>
        <w:pStyle w:val="Prrafodelista"/>
        <w:numPr>
          <w:ilvl w:val="0"/>
          <w:numId w:val="12"/>
        </w:numPr>
        <w:ind w:left="284" w:hanging="284"/>
      </w:pPr>
      <w:r w:rsidRPr="00F36999">
        <w:t xml:space="preserve">Las posiciones </w:t>
      </w:r>
      <w:r w:rsidRPr="002D3E72">
        <w:rPr>
          <w:u w:val="single"/>
        </w:rPr>
        <w:t>que no son susceptibles de estandarización</w:t>
      </w:r>
      <w:r w:rsidRPr="00F36999">
        <w:t xml:space="preserve"> incluyen los NMD, </w:t>
      </w:r>
      <w:proofErr w:type="gramStart"/>
      <w:r w:rsidRPr="00F36999">
        <w:t>los préstamos a tasa fija</w:t>
      </w:r>
      <w:proofErr w:type="gramEnd"/>
      <w:r w:rsidR="00A0588C">
        <w:t xml:space="preserve"> </w:t>
      </w:r>
      <w:r w:rsidRPr="00F36999">
        <w:t>sujetos a riesgo de prepago y los depósitos a plazo sujetos a riesgo de amortización anticipada. Así:</w:t>
      </w:r>
    </w:p>
    <w:p w14:paraId="22AE73E9" w14:textId="77777777" w:rsidR="005379A7" w:rsidRPr="00F36999" w:rsidRDefault="005379A7" w:rsidP="00835609"/>
    <w:p w14:paraId="19A18172" w14:textId="079267FB" w:rsidR="005379A7" w:rsidRPr="00F36999" w:rsidRDefault="005379A7" w:rsidP="00432D0F">
      <w:pPr>
        <w:pStyle w:val="Prrafodelista"/>
        <w:numPr>
          <w:ilvl w:val="0"/>
          <w:numId w:val="42"/>
        </w:numPr>
        <w:ind w:left="567" w:hanging="207"/>
      </w:pPr>
      <w:r w:rsidRPr="00432D0F">
        <w:rPr>
          <w:u w:val="single"/>
        </w:rPr>
        <w:t>NMD</w:t>
      </w:r>
      <w:r w:rsidRPr="00F36999">
        <w:t xml:space="preserve">: </w:t>
      </w:r>
      <w:r w:rsidR="00A0588C">
        <w:t>D</w:t>
      </w:r>
      <w:r w:rsidRPr="00F36999">
        <w:t xml:space="preserve">e acuerdo con la separación de los flujos de efectivo básicos </w:t>
      </w:r>
      <w:r w:rsidRPr="00432D0F">
        <w:rPr>
          <w:i/>
        </w:rPr>
        <w:t>(</w:t>
      </w:r>
      <w:proofErr w:type="spellStart"/>
      <w:r w:rsidRPr="00432D0F">
        <w:rPr>
          <w:i/>
        </w:rPr>
        <w:t>core</w:t>
      </w:r>
      <w:proofErr w:type="spellEnd"/>
      <w:r w:rsidRPr="00432D0F">
        <w:rPr>
          <w:i/>
        </w:rPr>
        <w:t>)</w:t>
      </w:r>
      <w:r>
        <w:t xml:space="preserve"> </w:t>
      </w:r>
      <w:r w:rsidRPr="00F36999">
        <w:t xml:space="preserve">y </w:t>
      </w:r>
      <w:r>
        <w:t>no básicos</w:t>
      </w:r>
      <w:r w:rsidRPr="00F36999">
        <w:t xml:space="preserve"> </w:t>
      </w:r>
      <w:r w:rsidRPr="00432D0F">
        <w:rPr>
          <w:i/>
        </w:rPr>
        <w:t>(non-</w:t>
      </w:r>
      <w:proofErr w:type="spellStart"/>
      <w:r w:rsidRPr="00432D0F">
        <w:rPr>
          <w:i/>
        </w:rPr>
        <w:t>core</w:t>
      </w:r>
      <w:proofErr w:type="spellEnd"/>
      <w:r w:rsidRPr="00432D0F">
        <w:rPr>
          <w:i/>
        </w:rPr>
        <w:t>)</w:t>
      </w:r>
      <w:r>
        <w:t xml:space="preserve"> </w:t>
      </w:r>
      <w:r w:rsidRPr="00F36999">
        <w:t>mediante el enf</w:t>
      </w:r>
      <w:r>
        <w:t xml:space="preserve">oque establecido </w:t>
      </w:r>
      <w:r w:rsidRPr="00F30385">
        <w:t xml:space="preserve">en </w:t>
      </w:r>
      <w:r w:rsidR="00EC76A2">
        <w:t xml:space="preserve">el </w:t>
      </w:r>
      <w:proofErr w:type="spellStart"/>
      <w:r w:rsidR="00EC76A2">
        <w:t>subnumeral</w:t>
      </w:r>
      <w:proofErr w:type="spellEnd"/>
      <w:r w:rsidR="00EC76A2">
        <w:t xml:space="preserve"> </w:t>
      </w:r>
      <w:r w:rsidRPr="00842482">
        <w:t>2.</w:t>
      </w:r>
      <w:r>
        <w:t>4.1</w:t>
      </w:r>
      <w:r w:rsidRPr="00842482">
        <w:t>.1</w:t>
      </w:r>
      <w:r w:rsidRPr="00F30385">
        <w:t>.</w:t>
      </w:r>
    </w:p>
    <w:p w14:paraId="63EFB70C" w14:textId="37B464F1" w:rsidR="005379A7" w:rsidRDefault="005379A7" w:rsidP="00432D0F">
      <w:pPr>
        <w:pStyle w:val="Prrafodelista"/>
        <w:numPr>
          <w:ilvl w:val="0"/>
          <w:numId w:val="42"/>
        </w:numPr>
        <w:ind w:left="567" w:hanging="207"/>
      </w:pPr>
      <w:r w:rsidRPr="004B58AB">
        <w:rPr>
          <w:u w:val="single"/>
        </w:rPr>
        <w:t>Opciones de comportamiento (préstamos a tasa fija sujetos a riesgo de pago anticipado y depósitos a plazo sujetos a riesgo de reembolso anticipado):</w:t>
      </w:r>
      <w:r w:rsidRPr="00F36999">
        <w:t xml:space="preserve"> los parámetros de comportamiento relevantes para e</w:t>
      </w:r>
      <w:r w:rsidR="0037066E">
        <w:t xml:space="preserve">ste </w:t>
      </w:r>
      <w:r w:rsidRPr="00F36999">
        <w:t xml:space="preserve">tipo de posición </w:t>
      </w:r>
      <w:r w:rsidR="0037066E">
        <w:t xml:space="preserve">se </w:t>
      </w:r>
      <w:r w:rsidRPr="00F36999">
        <w:t>deben basar</w:t>
      </w:r>
      <w:r w:rsidR="0037066E">
        <w:t xml:space="preserve"> </w:t>
      </w:r>
      <w:r w:rsidRPr="00F36999">
        <w:t>e</w:t>
      </w:r>
      <w:r>
        <w:t xml:space="preserve">n lo establecido en </w:t>
      </w:r>
      <w:r w:rsidR="00EC76A2">
        <w:t>e</w:t>
      </w:r>
      <w:r>
        <w:t>l</w:t>
      </w:r>
      <w:r w:rsidR="00EC76A2">
        <w:t xml:space="preserve"> </w:t>
      </w:r>
      <w:proofErr w:type="spellStart"/>
      <w:r w:rsidR="00EC76A2">
        <w:t>subnumeral</w:t>
      </w:r>
      <w:proofErr w:type="spellEnd"/>
      <w:r w:rsidR="00EC76A2">
        <w:t xml:space="preserve"> </w:t>
      </w:r>
      <w:r>
        <w:t>2.4.1</w:t>
      </w:r>
      <w:r w:rsidRPr="00F36999">
        <w:t>.</w:t>
      </w:r>
      <w:r>
        <w:t>2</w:t>
      </w:r>
      <w:r w:rsidRPr="00F36999">
        <w:t>.</w:t>
      </w:r>
    </w:p>
    <w:p w14:paraId="4B029477" w14:textId="77777777" w:rsidR="005379A7" w:rsidRDefault="005379A7" w:rsidP="00835609"/>
    <w:p w14:paraId="45C3646E" w14:textId="45D5CBB3" w:rsidR="00867E7E" w:rsidRDefault="005379A7" w:rsidP="00B047AC">
      <w:pPr>
        <w:pStyle w:val="Prrafodelista"/>
        <w:numPr>
          <w:ilvl w:val="0"/>
          <w:numId w:val="12"/>
        </w:numPr>
        <w:ind w:left="284" w:hanging="284"/>
      </w:pPr>
      <w:r>
        <w:t>Las</w:t>
      </w:r>
      <w:r w:rsidRPr="00F36999">
        <w:t xml:space="preserve"> posiciones </w:t>
      </w:r>
      <w:r w:rsidRPr="002D3E72">
        <w:rPr>
          <w:u w:val="single"/>
        </w:rPr>
        <w:t>menos susceptibles de estandarización</w:t>
      </w:r>
      <w:r w:rsidRPr="00F36999">
        <w:t xml:space="preserve"> </w:t>
      </w:r>
      <w:r>
        <w:t>incluyen</w:t>
      </w:r>
      <w:r w:rsidRPr="00F36999">
        <w:t xml:space="preserve"> opciones de tasa de interés automáticas explícitas, </w:t>
      </w:r>
      <w:r w:rsidR="0037066E">
        <w:t>así como las opciones automáticas implícitas sobre tasas de interés que se separan o segre</w:t>
      </w:r>
      <w:r w:rsidR="00C869AF">
        <w:t>gan de los activos o pasivos de la entidad</w:t>
      </w:r>
      <w:r w:rsidR="0037066E">
        <w:t xml:space="preserve"> (es decir, del contrato principal)</w:t>
      </w:r>
      <w:r w:rsidRPr="00B55408">
        <w:t xml:space="preserve">. La metodología para </w:t>
      </w:r>
      <w:r w:rsidR="0037066E">
        <w:t xml:space="preserve">estás </w:t>
      </w:r>
      <w:r w:rsidRPr="00B55408">
        <w:t xml:space="preserve">opciones de tasa de interés se describe en </w:t>
      </w:r>
      <w:r w:rsidR="001F027A">
        <w:t xml:space="preserve">el </w:t>
      </w:r>
      <w:proofErr w:type="spellStart"/>
      <w:r w:rsidR="001F027A">
        <w:t>subnumeral</w:t>
      </w:r>
      <w:proofErr w:type="spellEnd"/>
      <w:r w:rsidRPr="00B55408">
        <w:t xml:space="preserve"> 2.4.2</w:t>
      </w:r>
      <w:r>
        <w:t>.</w:t>
      </w:r>
    </w:p>
    <w:p w14:paraId="4E92C07D" w14:textId="77777777" w:rsidR="00867E7E" w:rsidRDefault="00867E7E" w:rsidP="00867E7E">
      <w:pPr>
        <w:pStyle w:val="Prrafodelista"/>
        <w:ind w:left="360"/>
      </w:pPr>
    </w:p>
    <w:p w14:paraId="7D4DF6E8" w14:textId="602A3727" w:rsidR="00867E7E" w:rsidRPr="002D3E72" w:rsidRDefault="00867E7E" w:rsidP="00B047AC">
      <w:pPr>
        <w:pStyle w:val="Prrafodelista"/>
        <w:numPr>
          <w:ilvl w:val="0"/>
          <w:numId w:val="12"/>
        </w:numPr>
        <w:ind w:left="284" w:hanging="284"/>
      </w:pPr>
      <w:r w:rsidRPr="002D3E72">
        <w:t xml:space="preserve">Los flujos de caja deben ubicarse en las bandas de tiempo en función de su vencimiento contractual si están sujetos a cupones fijos, o en la próxima fecha de </w:t>
      </w:r>
      <w:proofErr w:type="spellStart"/>
      <w:r w:rsidRPr="002D3E72">
        <w:t>reprecio</w:t>
      </w:r>
      <w:proofErr w:type="spellEnd"/>
      <w:r w:rsidRPr="002D3E72">
        <w:t xml:space="preserve"> si los cupones son variables o flotantes.</w:t>
      </w:r>
    </w:p>
    <w:p w14:paraId="50D3CDE2" w14:textId="77777777" w:rsidR="00233E88" w:rsidRDefault="0023787A" w:rsidP="00233E88">
      <w:pPr>
        <w:ind w:firstLine="360"/>
      </w:pPr>
      <w:r w:rsidRPr="0023787A">
        <w:t xml:space="preserve">Los flujos </w:t>
      </w:r>
      <w:r w:rsidRPr="00867E7E">
        <w:rPr>
          <w:u w:val="single"/>
        </w:rPr>
        <w:t>susceptibles de estandarización</w:t>
      </w:r>
      <w:r w:rsidRPr="0023787A">
        <w:t xml:space="preserve"> se dividen en dos categorías:</w:t>
      </w:r>
      <w:r w:rsidR="00233E88">
        <w:t xml:space="preserve"> </w:t>
      </w:r>
    </w:p>
    <w:p w14:paraId="7191FC06" w14:textId="77777777" w:rsidR="00B30A93" w:rsidRDefault="00B30A93" w:rsidP="00233E88">
      <w:pPr>
        <w:ind w:firstLine="360"/>
      </w:pPr>
    </w:p>
    <w:p w14:paraId="658F38A4" w14:textId="45E954BA" w:rsidR="0023787A" w:rsidRPr="00F36999" w:rsidRDefault="0023787A" w:rsidP="00B30A93">
      <w:pPr>
        <w:pStyle w:val="Prrafodelista"/>
        <w:numPr>
          <w:ilvl w:val="0"/>
          <w:numId w:val="41"/>
        </w:numPr>
        <w:ind w:left="567" w:hanging="207"/>
      </w:pPr>
      <w:r w:rsidRPr="00B30A93">
        <w:rPr>
          <w:i/>
          <w:u w:val="single"/>
        </w:rPr>
        <w:t>Posiciones a tasa fija:</w:t>
      </w:r>
      <w:r w:rsidRPr="00F36999">
        <w:t xml:space="preserve"> </w:t>
      </w:r>
      <w:r>
        <w:t xml:space="preserve">Posiciones </w:t>
      </w:r>
      <w:r w:rsidRPr="00F36999">
        <w:t xml:space="preserve">que generan flujos de caja seguros hasta el momento del vencimiento contractual. Por ejemplo, los préstamos a tasa fija sin opciones </w:t>
      </w:r>
      <w:r>
        <w:t xml:space="preserve">implícitas </w:t>
      </w:r>
      <w:r w:rsidRPr="00F36999">
        <w:t xml:space="preserve">de pago anticipado, los depósitos a plazo sin riesgo de reembolso y otros productos amortizables. Todos los flujos de caja </w:t>
      </w:r>
      <w:r w:rsidR="008E2EBD">
        <w:rPr>
          <w:noProof/>
        </w:rPr>
        <w:lastRenderedPageBreak/>
        <mc:AlternateContent>
          <mc:Choice Requires="wps">
            <w:drawing>
              <wp:anchor distT="0" distB="0" distL="114300" distR="114300" simplePos="0" relativeHeight="251673600" behindDoc="0" locked="0" layoutInCell="1" allowOverlap="1" wp14:anchorId="1B9574E1" wp14:editId="71BCD960">
                <wp:simplePos x="0" y="0"/>
                <wp:positionH relativeFrom="column">
                  <wp:posOffset>-156211</wp:posOffset>
                </wp:positionH>
                <wp:positionV relativeFrom="paragraph">
                  <wp:posOffset>-31115</wp:posOffset>
                </wp:positionV>
                <wp:extent cx="9525" cy="10163175"/>
                <wp:effectExtent l="0" t="0" r="28575" b="28575"/>
                <wp:wrapNone/>
                <wp:docPr id="6" name="Conector recto 6"/>
                <wp:cNvGraphicFramePr/>
                <a:graphic xmlns:a="http://schemas.openxmlformats.org/drawingml/2006/main">
                  <a:graphicData uri="http://schemas.microsoft.com/office/word/2010/wordprocessingShape">
                    <wps:wsp>
                      <wps:cNvCnPr/>
                      <wps:spPr>
                        <a:xfrm>
                          <a:off x="0" y="0"/>
                          <a:ext cx="9525" cy="10163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83C32E" id="Conector recto 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pt,-2.45pt" to="-11.55pt,7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" strokecolor="black [3200]" strokeweight=".5pt">
                <v:stroke joinstyle="miter"/>
              </v:line>
            </w:pict>
          </mc:Fallback>
        </mc:AlternateContent>
      </w:r>
      <w:r w:rsidRPr="00F36999">
        <w:t>provenientes de cupones y los pagos del principal (periódicos o finales) deben asignarse a las bandas de tiempo más cercanas al vencimiento contractual.</w:t>
      </w:r>
    </w:p>
    <w:p w14:paraId="427CD4C7" w14:textId="3A937481" w:rsidR="0023787A" w:rsidRDefault="0023787A" w:rsidP="00A37B2A">
      <w:pPr>
        <w:pStyle w:val="Prrafodelista"/>
        <w:numPr>
          <w:ilvl w:val="0"/>
          <w:numId w:val="41"/>
        </w:numPr>
        <w:ind w:left="567" w:hanging="207"/>
      </w:pPr>
      <w:r w:rsidRPr="00C17120">
        <w:rPr>
          <w:i/>
          <w:u w:val="single"/>
        </w:rPr>
        <w:t>Posiciones de tasa variable</w:t>
      </w:r>
      <w:r w:rsidRPr="00F36999">
        <w:t xml:space="preserve">: </w:t>
      </w:r>
      <w:r>
        <w:t xml:space="preserve">Posiciones </w:t>
      </w:r>
      <w:r w:rsidRPr="00F36999">
        <w:t xml:space="preserve">cuyos flujos de caja no son predecibles después de la próxima fecha de </w:t>
      </w:r>
      <w:proofErr w:type="spellStart"/>
      <w:r w:rsidRPr="00F36999">
        <w:t>reprecio</w:t>
      </w:r>
      <w:proofErr w:type="spellEnd"/>
      <w:r w:rsidRPr="00F36999">
        <w:t xml:space="preserve">, </w:t>
      </w:r>
      <w:r w:rsidRPr="008D3B2F">
        <w:t xml:space="preserve">salvo que se establezca que el valor </w:t>
      </w:r>
      <w:r>
        <w:t xml:space="preserve">actual se </w:t>
      </w:r>
      <w:r w:rsidRPr="008D3B2F">
        <w:t>re</w:t>
      </w:r>
      <w:r>
        <w:t xml:space="preserve">nueve </w:t>
      </w:r>
      <w:r w:rsidRPr="00F36999">
        <w:t xml:space="preserve">a la par. Dichos instrumentos pueden tratarse como una serie de pagos de cupones hasta la siguiente fecha de </w:t>
      </w:r>
      <w:proofErr w:type="spellStart"/>
      <w:r w:rsidRPr="00F36999">
        <w:t>reprecio</w:t>
      </w:r>
      <w:proofErr w:type="spellEnd"/>
      <w:r w:rsidRPr="00F36999">
        <w:t xml:space="preserve"> y un flujo de caja correspondiente al nominal en el punto medio de la banda de tiempo más cercana al siguiente período de re</w:t>
      </w:r>
      <w:r>
        <w:t>visión de precios</w:t>
      </w:r>
      <w:r w:rsidRPr="00F36999">
        <w:t>.</w:t>
      </w:r>
    </w:p>
    <w:p w14:paraId="01D75B3F" w14:textId="3E55D431" w:rsidR="00A0588C" w:rsidRDefault="00A0588C" w:rsidP="00835609"/>
    <w:p w14:paraId="0C523F3E" w14:textId="17A9403C" w:rsidR="00867E7E" w:rsidRDefault="00867E7E" w:rsidP="00F810C9">
      <w:pPr>
        <w:pStyle w:val="Prrafodelista"/>
        <w:numPr>
          <w:ilvl w:val="0"/>
          <w:numId w:val="36"/>
        </w:numPr>
        <w:ind w:left="284" w:hanging="284"/>
      </w:pPr>
      <w:r w:rsidRPr="00867E7E">
        <w:t>Las posiciones susceptibles de estandarización</w:t>
      </w:r>
      <w:r w:rsidRPr="00F338F2">
        <w:t xml:space="preserve"> incluyen </w:t>
      </w:r>
      <w:r>
        <w:t xml:space="preserve">posiciones </w:t>
      </w:r>
      <w:r w:rsidRPr="00F338F2">
        <w:t xml:space="preserve">con </w:t>
      </w:r>
      <w:r w:rsidRPr="00C4474D">
        <w:t>opciones automáticas implícitas</w:t>
      </w:r>
      <w:r w:rsidRPr="00F338F2">
        <w:t xml:space="preserve"> en las que la opcionalidad (ya sea vendida o comprada) debe ignorarse con el fin de mapear los flujos de caja</w:t>
      </w:r>
      <w:r>
        <w:t xml:space="preserve"> teóricos</w:t>
      </w:r>
      <w:r w:rsidRPr="00F338F2">
        <w:t xml:space="preserve">. Es decir, </w:t>
      </w:r>
      <w:r w:rsidRPr="00C4474D">
        <w:t xml:space="preserve">la opción de tasa de interés automática implícita </w:t>
      </w:r>
      <w:r>
        <w:t xml:space="preserve">segregada </w:t>
      </w:r>
      <w:r w:rsidRPr="00F338F2">
        <w:t>debe tratarse junto con las opciones de tasa de interés automáticas explícitas.</w:t>
      </w:r>
    </w:p>
    <w:p w14:paraId="7FE022D6" w14:textId="77777777" w:rsidR="00600255" w:rsidRPr="00F36999" w:rsidRDefault="00600255" w:rsidP="00835609"/>
    <w:p w14:paraId="400BD39E" w14:textId="516FE84D" w:rsidR="00F27BCD" w:rsidRPr="00A14DD7" w:rsidRDefault="00B75AA9" w:rsidP="00B81B30">
      <w:pPr>
        <w:pStyle w:val="Prrafodelista"/>
        <w:numPr>
          <w:ilvl w:val="2"/>
          <w:numId w:val="14"/>
        </w:numPr>
        <w:rPr>
          <w:b/>
          <w:bCs/>
        </w:rPr>
      </w:pPr>
      <w:bookmarkStart w:id="15" w:name="_Toc83387390"/>
      <w:bookmarkStart w:id="16" w:name="_Toc85033792"/>
      <w:r w:rsidRPr="00A14DD7">
        <w:rPr>
          <w:b/>
          <w:bCs/>
        </w:rPr>
        <w:t>Posiciones que no son susceptibles de estandarización</w:t>
      </w:r>
    </w:p>
    <w:p w14:paraId="67E95699" w14:textId="77777777" w:rsidR="00A14DD7" w:rsidRDefault="00A14DD7" w:rsidP="00A75EBC">
      <w:pPr>
        <w:rPr>
          <w:b/>
          <w:bCs/>
        </w:rPr>
      </w:pPr>
      <w:bookmarkStart w:id="17" w:name="_Toc89764114"/>
    </w:p>
    <w:p w14:paraId="1610FEFC" w14:textId="71E6452B" w:rsidR="00E26B17" w:rsidRPr="00A14DD7" w:rsidRDefault="00F338F2" w:rsidP="00A75EBC">
      <w:pPr>
        <w:rPr>
          <w:b/>
          <w:bCs/>
        </w:rPr>
      </w:pPr>
      <w:r w:rsidRPr="00A14DD7">
        <w:rPr>
          <w:b/>
          <w:bCs/>
        </w:rPr>
        <w:t xml:space="preserve">2.4.1.1 </w:t>
      </w:r>
      <w:r w:rsidR="00CF4508">
        <w:rPr>
          <w:b/>
          <w:bCs/>
        </w:rPr>
        <w:t>Depósitos</w:t>
      </w:r>
      <w:r w:rsidR="00E26B17" w:rsidRPr="00A14DD7">
        <w:rPr>
          <w:b/>
          <w:bCs/>
        </w:rPr>
        <w:t xml:space="preserve"> sin vencimiento contractual (NMD)</w:t>
      </w:r>
      <w:bookmarkEnd w:id="15"/>
      <w:bookmarkEnd w:id="16"/>
      <w:bookmarkEnd w:id="17"/>
    </w:p>
    <w:p w14:paraId="3495A329" w14:textId="77777777" w:rsidR="0069140E" w:rsidRDefault="0069140E" w:rsidP="00A75EBC"/>
    <w:p w14:paraId="4D97C238" w14:textId="3DF61D3B" w:rsidR="00392E53" w:rsidRPr="00A75EBC" w:rsidRDefault="002A3A16" w:rsidP="00A75EBC">
      <w:r w:rsidRPr="00A75EBC">
        <w:t>L</w:t>
      </w:r>
      <w:r w:rsidR="00392E53" w:rsidRPr="00A75EBC">
        <w:t>os supuestos de comportamiento para los NMD</w:t>
      </w:r>
      <w:r w:rsidR="00DD19A2">
        <w:t xml:space="preserve"> (</w:t>
      </w:r>
      <w:r w:rsidR="00392E53" w:rsidRPr="00A75EBC">
        <w:t>depósitos que no tienen una fecha específica de revisión de precios</w:t>
      </w:r>
      <w:r w:rsidR="00DD19A2">
        <w:t>)</w:t>
      </w:r>
      <w:r w:rsidR="005529C0">
        <w:t xml:space="preserve"> </w:t>
      </w:r>
      <w:r w:rsidR="00392E53" w:rsidRPr="00A75EBC">
        <w:t xml:space="preserve">son un determinante material de las exposiciones al </w:t>
      </w:r>
      <w:r w:rsidRPr="00A75EBC">
        <w:t>RTILB</w:t>
      </w:r>
      <w:r w:rsidR="00392E53" w:rsidRPr="00A75EBC">
        <w:t xml:space="preserve"> según las medidas basadas en el VEP y en el MNI. La entidad debe documentar, monitorear y actualizar regularmente los supuestos clave para los saldos y el comportamiento de </w:t>
      </w:r>
      <w:r w:rsidR="003E69AA">
        <w:t xml:space="preserve">los </w:t>
      </w:r>
      <w:r w:rsidR="00392E53" w:rsidRPr="00A75EBC">
        <w:t>NMD en su sistema interno de gestión. Para determinar los supuestos aprop</w:t>
      </w:r>
      <w:r w:rsidRPr="00A75EBC">
        <w:t xml:space="preserve">iados para sus NMD la entidad </w:t>
      </w:r>
      <w:r w:rsidR="00392E53" w:rsidRPr="00A75EBC">
        <w:t>debe analizar su base de depositantes para identificar la p</w:t>
      </w:r>
      <w:r w:rsidRPr="00A75EBC">
        <w:t xml:space="preserve">roporción de depósitos básicos </w:t>
      </w:r>
      <w:r w:rsidR="00392E53" w:rsidRPr="00A75EBC">
        <w:t xml:space="preserve">o </w:t>
      </w:r>
      <w:proofErr w:type="spellStart"/>
      <w:r w:rsidR="00392E53" w:rsidRPr="009727D7">
        <w:rPr>
          <w:i/>
          <w:iCs/>
        </w:rPr>
        <w:t>core</w:t>
      </w:r>
      <w:proofErr w:type="spellEnd"/>
      <w:r w:rsidR="008F2B8F">
        <w:t xml:space="preserve">, </w:t>
      </w:r>
      <w:r w:rsidR="00392E53" w:rsidRPr="00A75EBC">
        <w:t>es decir, NMD que es poco probable que cambien el precio incluso bajo cambios significativos en</w:t>
      </w:r>
      <w:r w:rsidR="008F2B8F">
        <w:t xml:space="preserve"> el entorno de tasas de interés</w:t>
      </w:r>
      <w:r w:rsidR="00392E53" w:rsidRPr="00A75EBC">
        <w:t>. Los supuestos deben variar según las características del depositante</w:t>
      </w:r>
      <w:r w:rsidR="004D446E">
        <w:t xml:space="preserve">, </w:t>
      </w:r>
      <w:r w:rsidR="00392E53" w:rsidRPr="00C51BAC">
        <w:t xml:space="preserve">minorista </w:t>
      </w:r>
      <w:r w:rsidR="004D446E" w:rsidRPr="00C51BAC">
        <w:t xml:space="preserve">o </w:t>
      </w:r>
      <w:r w:rsidR="00392E53" w:rsidRPr="00C51BAC">
        <w:t>mayorista</w:t>
      </w:r>
      <w:r w:rsidR="004D446E" w:rsidRPr="00C51BAC">
        <w:t xml:space="preserve">, </w:t>
      </w:r>
      <w:r w:rsidR="00392E53" w:rsidRPr="00C51BAC">
        <w:t>y</w:t>
      </w:r>
      <w:r w:rsidR="00392E53" w:rsidRPr="00A75EBC">
        <w:t xml:space="preserve"> las características de la cuenta</w:t>
      </w:r>
      <w:r w:rsidR="004D446E">
        <w:t xml:space="preserve">, </w:t>
      </w:r>
      <w:r w:rsidR="00392E53" w:rsidRPr="00A75EBC">
        <w:t xml:space="preserve">transaccional </w:t>
      </w:r>
      <w:r w:rsidR="004D446E">
        <w:t xml:space="preserve">o </w:t>
      </w:r>
      <w:r w:rsidR="00392E53" w:rsidRPr="00A75EBC">
        <w:t>no transaccional</w:t>
      </w:r>
      <w:r w:rsidR="00A861DB" w:rsidRPr="00A75EBC">
        <w:t>.</w:t>
      </w:r>
    </w:p>
    <w:p w14:paraId="658F6F08" w14:textId="77777777" w:rsidR="00392E53" w:rsidRPr="00A75EBC" w:rsidRDefault="00392E53" w:rsidP="00A75EBC"/>
    <w:p w14:paraId="2956ECFE" w14:textId="75C654D3" w:rsidR="00392E53" w:rsidRDefault="00E26B17" w:rsidP="00A75EBC">
      <w:r w:rsidRPr="00F36999">
        <w:t xml:space="preserve">Al elaborar las hipótesis de comportamiento </w:t>
      </w:r>
      <w:r w:rsidR="002F3698" w:rsidRPr="00F36999">
        <w:t xml:space="preserve">para los </w:t>
      </w:r>
      <w:r w:rsidR="002F3698" w:rsidRPr="0062769E">
        <w:t xml:space="preserve">NMD </w:t>
      </w:r>
      <w:r w:rsidRPr="0062769E">
        <w:t xml:space="preserve">a efectos de la gestión del riesgo de tasa de interés, la entidad debe: (a) </w:t>
      </w:r>
      <w:r w:rsidR="002D62F3" w:rsidRPr="0062769E">
        <w:t>diferenciar</w:t>
      </w:r>
      <w:r w:rsidRPr="0062769E">
        <w:t xml:space="preserve"> los saldos «estables», es decir, </w:t>
      </w:r>
      <w:r w:rsidR="002F3698" w:rsidRPr="0062769E">
        <w:t>el monto del saldo</w:t>
      </w:r>
      <w:r w:rsidR="006B6C91" w:rsidRPr="0062769E">
        <w:t xml:space="preserve"> </w:t>
      </w:r>
      <w:r w:rsidR="002F3698" w:rsidRPr="0062769E">
        <w:t>que es poco probable que sea retirad</w:t>
      </w:r>
      <w:r w:rsidR="00790FAD" w:rsidRPr="0062769E">
        <w:t>o</w:t>
      </w:r>
      <w:r w:rsidR="00A622EF">
        <w:t>,</w:t>
      </w:r>
      <w:r w:rsidRPr="0062769E">
        <w:t xml:space="preserve"> (b) </w:t>
      </w:r>
      <w:r w:rsidR="002D62F3" w:rsidRPr="0062769E">
        <w:t xml:space="preserve">elaborar </w:t>
      </w:r>
      <w:r w:rsidRPr="0062769E">
        <w:t>hipótesis de model</w:t>
      </w:r>
      <w:r w:rsidR="002D62F3" w:rsidRPr="0062769E">
        <w:t>ación</w:t>
      </w:r>
      <w:r w:rsidRPr="0062769E">
        <w:t xml:space="preserve"> </w:t>
      </w:r>
      <w:r w:rsidR="002D62F3" w:rsidRPr="0062769E">
        <w:t>que</w:t>
      </w:r>
      <w:r w:rsidRPr="0062769E">
        <w:t xml:space="preserve"> reflej</w:t>
      </w:r>
      <w:r w:rsidR="002D62F3" w:rsidRPr="0062769E">
        <w:t>e</w:t>
      </w:r>
      <w:r w:rsidR="001A43D6" w:rsidRPr="0062769E">
        <w:t>n</w:t>
      </w:r>
      <w:r w:rsidRPr="0062769E">
        <w:t xml:space="preserve"> las características del depositante (minorista/mayorista) y de la cuenta (t</w:t>
      </w:r>
      <w:r w:rsidR="00B76690" w:rsidRPr="0062769E">
        <w:t>ransaccional/no transaccional</w:t>
      </w:r>
      <w:r w:rsidR="00B76690" w:rsidRPr="00F36999">
        <w:t>)</w:t>
      </w:r>
      <w:r w:rsidR="008E6624">
        <w:t>,</w:t>
      </w:r>
      <w:r w:rsidR="005D4C71" w:rsidRPr="00F36999">
        <w:t xml:space="preserve"> (c)</w:t>
      </w:r>
      <w:r w:rsidR="008001DA" w:rsidRPr="00F36999">
        <w:t xml:space="preserve"> identificar para cada categoría, </w:t>
      </w:r>
      <w:r w:rsidR="007E41BD" w:rsidRPr="00F36999">
        <w:t xml:space="preserve">los depósitos </w:t>
      </w:r>
      <w:r w:rsidR="007E41BD" w:rsidRPr="004115DD">
        <w:t>básicos y no básicos</w:t>
      </w:r>
      <w:r w:rsidR="007E41BD" w:rsidRPr="00F36999">
        <w:t xml:space="preserve"> </w:t>
      </w:r>
      <w:r w:rsidR="00587991" w:rsidRPr="00F36999">
        <w:t xml:space="preserve">a partir </w:t>
      </w:r>
      <w:r w:rsidR="00274D3D" w:rsidRPr="00F36999">
        <w:t xml:space="preserve">de los límites indicados en la </w:t>
      </w:r>
      <w:r w:rsidR="009E6154" w:rsidRPr="00F36999">
        <w:t>T</w:t>
      </w:r>
      <w:r w:rsidR="00274D3D" w:rsidRPr="00F36999">
        <w:t xml:space="preserve">abla </w:t>
      </w:r>
      <w:r w:rsidR="00FE7622">
        <w:t>5</w:t>
      </w:r>
      <w:r w:rsidR="00032742">
        <w:t xml:space="preserve"> del presente </w:t>
      </w:r>
      <w:proofErr w:type="spellStart"/>
      <w:r w:rsidR="00187CDC">
        <w:t>sub</w:t>
      </w:r>
      <w:r w:rsidR="00032742">
        <w:t>numeral</w:t>
      </w:r>
      <w:proofErr w:type="spellEnd"/>
      <w:r w:rsidR="008E6624">
        <w:t>,</w:t>
      </w:r>
      <w:r w:rsidR="003E0D43" w:rsidRPr="00F36999">
        <w:t xml:space="preserve"> y (d) </w:t>
      </w:r>
      <w:r w:rsidR="00702D6D" w:rsidRPr="00F36999">
        <w:t xml:space="preserve">utilizar </w:t>
      </w:r>
      <w:r w:rsidR="00CA135A">
        <w:t xml:space="preserve">la información de </w:t>
      </w:r>
      <w:r w:rsidR="00702D6D" w:rsidRPr="00F36999">
        <w:t xml:space="preserve">esa misma tabla para asignar el flujo de efectivo </w:t>
      </w:r>
      <w:r w:rsidR="001914C5" w:rsidRPr="00F36999">
        <w:t>adecuado por categoría</w:t>
      </w:r>
      <w:r w:rsidR="008177AC" w:rsidRPr="00F36999">
        <w:t xml:space="preserve"> a partir de</w:t>
      </w:r>
      <w:r w:rsidR="002802E2" w:rsidRPr="00F36999">
        <w:t>l</w:t>
      </w:r>
      <w:r w:rsidR="008177AC" w:rsidRPr="00F36999">
        <w:t xml:space="preserve"> vencimiento promedio allí </w:t>
      </w:r>
      <w:r w:rsidR="00CA135A">
        <w:t>señalado</w:t>
      </w:r>
      <w:r w:rsidR="009907CB" w:rsidRPr="00F36999">
        <w:t>.</w:t>
      </w:r>
      <w:r w:rsidR="006C0FAC">
        <w:t xml:space="preserve"> En este sentido, la entidad debe:</w:t>
      </w:r>
    </w:p>
    <w:p w14:paraId="4143C437" w14:textId="4263D8BD" w:rsidR="006D5630" w:rsidRDefault="006D5630" w:rsidP="00A75EBC"/>
    <w:p w14:paraId="77AA52DC" w14:textId="6302CC2B" w:rsidR="006C0FAC" w:rsidRPr="00FE7622" w:rsidRDefault="006C0FAC" w:rsidP="00536F23">
      <w:pPr>
        <w:pStyle w:val="Prrafodelista"/>
        <w:numPr>
          <w:ilvl w:val="2"/>
          <w:numId w:val="11"/>
        </w:numPr>
        <w:ind w:left="284" w:hanging="284"/>
      </w:pPr>
      <w:r w:rsidRPr="00FE7622">
        <w:t>S</w:t>
      </w:r>
      <w:r w:rsidR="006D5630" w:rsidRPr="00FE7622">
        <w:t xml:space="preserve">eparar sus NMD de acuerdo con la naturaleza del depósito y del depositante. </w:t>
      </w:r>
    </w:p>
    <w:p w14:paraId="74463CCF" w14:textId="01D90253" w:rsidR="006C0FAC" w:rsidRPr="00FE7622" w:rsidRDefault="006C0FAC" w:rsidP="00536F23">
      <w:pPr>
        <w:pStyle w:val="Prrafodelista"/>
        <w:numPr>
          <w:ilvl w:val="2"/>
          <w:numId w:val="11"/>
        </w:numPr>
        <w:ind w:left="284" w:hanging="284"/>
      </w:pPr>
      <w:r w:rsidRPr="00FE7622">
        <w:t>I</w:t>
      </w:r>
      <w:r w:rsidR="006D5630" w:rsidRPr="00FE7622">
        <w:t>dentificar</w:t>
      </w:r>
      <w:r w:rsidR="00BC3507">
        <w:t xml:space="preserve"> en </w:t>
      </w:r>
      <w:r w:rsidR="006D5630" w:rsidRPr="00FE7622">
        <w:t xml:space="preserve">cada categoría, los depósitos </w:t>
      </w:r>
      <w:r w:rsidR="006D5630" w:rsidRPr="004115DD">
        <w:t>básicos y no básicos</w:t>
      </w:r>
      <w:r w:rsidR="006D5630" w:rsidRPr="00FE7622">
        <w:t xml:space="preserve">, hasta los límites </w:t>
      </w:r>
      <w:r w:rsidR="00CA135A">
        <w:t>definidos</w:t>
      </w:r>
      <w:r w:rsidR="006D5630" w:rsidRPr="00FE7622">
        <w:t xml:space="preserve"> en la Tabla </w:t>
      </w:r>
      <w:r w:rsidR="00FE7622" w:rsidRPr="00FE7622">
        <w:t>5</w:t>
      </w:r>
      <w:r w:rsidR="006D5630" w:rsidRPr="00FE7622">
        <w:t xml:space="preserve">. </w:t>
      </w:r>
    </w:p>
    <w:p w14:paraId="46F4A5A3" w14:textId="0881AD5E" w:rsidR="00E26B17" w:rsidRDefault="006C0FAC" w:rsidP="00536F23">
      <w:pPr>
        <w:pStyle w:val="Prrafodelista"/>
        <w:numPr>
          <w:ilvl w:val="2"/>
          <w:numId w:val="11"/>
        </w:numPr>
        <w:ind w:left="284" w:hanging="284"/>
      </w:pPr>
      <w:r w:rsidRPr="00FE7622">
        <w:t>D</w:t>
      </w:r>
      <w:r w:rsidR="006D5630" w:rsidRPr="00FE7622">
        <w:t>eterminar</w:t>
      </w:r>
      <w:r w:rsidR="006D5630" w:rsidRPr="0024128C">
        <w:t xml:space="preserve"> una asignación </w:t>
      </w:r>
      <w:r w:rsidR="00922287">
        <w:t xml:space="preserve">adecuada </w:t>
      </w:r>
      <w:r w:rsidR="006D5630" w:rsidRPr="0024128C">
        <w:t xml:space="preserve">de </w:t>
      </w:r>
      <w:r w:rsidR="00922287">
        <w:t xml:space="preserve">los </w:t>
      </w:r>
      <w:r w:rsidR="006D5630" w:rsidRPr="0024128C">
        <w:t>flujo</w:t>
      </w:r>
      <w:r w:rsidR="00CA135A">
        <w:t>s</w:t>
      </w:r>
      <w:r w:rsidR="006D5630" w:rsidRPr="0024128C">
        <w:t xml:space="preserve"> de efectivo </w:t>
      </w:r>
      <w:r w:rsidR="00922287">
        <w:t xml:space="preserve">de los depósitos </w:t>
      </w:r>
      <w:r w:rsidR="006D5630" w:rsidRPr="0024128C">
        <w:t>para cada categoría</w:t>
      </w:r>
      <w:r w:rsidR="00A55414">
        <w:t xml:space="preserve"> (minoristas </w:t>
      </w:r>
      <w:r w:rsidR="000E2F86">
        <w:t>o</w:t>
      </w:r>
      <w:r w:rsidR="00A55414">
        <w:t xml:space="preserve"> mayoristas)</w:t>
      </w:r>
      <w:r w:rsidR="006D5630" w:rsidRPr="0024128C">
        <w:t xml:space="preserve">, de acuerdo con los límites de vencimiento promedio </w:t>
      </w:r>
      <w:r w:rsidR="00CA135A">
        <w:t xml:space="preserve">indicados en </w:t>
      </w:r>
      <w:r w:rsidR="006D5630" w:rsidRPr="0024128C">
        <w:t xml:space="preserve">la Tabla </w:t>
      </w:r>
      <w:r w:rsidR="00FE7622">
        <w:t>5</w:t>
      </w:r>
      <w:r w:rsidR="006D5630" w:rsidRPr="0024128C">
        <w:t>.</w:t>
      </w:r>
      <w:r w:rsidR="00922287">
        <w:t xml:space="preserve"> A continuación la información de dichas categorías:</w:t>
      </w:r>
    </w:p>
    <w:p w14:paraId="7CB7A159" w14:textId="77777777" w:rsidR="004D087A" w:rsidRPr="00F36999" w:rsidRDefault="004D087A" w:rsidP="00835609">
      <w:pPr>
        <w:ind w:left="66"/>
      </w:pPr>
    </w:p>
    <w:p w14:paraId="32832C97" w14:textId="1F8F6A2F" w:rsidR="00E26B17" w:rsidRPr="00F36999" w:rsidRDefault="001B7603" w:rsidP="00325463">
      <w:pPr>
        <w:pStyle w:val="Prrafodelista"/>
        <w:numPr>
          <w:ilvl w:val="0"/>
          <w:numId w:val="8"/>
        </w:numPr>
        <w:ind w:left="567" w:hanging="283"/>
      </w:pPr>
      <w:r>
        <w:rPr>
          <w:i/>
        </w:rPr>
        <w:t>D</w:t>
      </w:r>
      <w:r w:rsidR="00E26B17" w:rsidRPr="00F36999">
        <w:rPr>
          <w:i/>
        </w:rPr>
        <w:t>epósitos minoristas transaccionales</w:t>
      </w:r>
      <w:r w:rsidR="006C61A7">
        <w:rPr>
          <w:i/>
        </w:rPr>
        <w:t>.</w:t>
      </w:r>
      <w:r w:rsidR="00E26B17" w:rsidRPr="00F36999">
        <w:t xml:space="preserve"> </w:t>
      </w:r>
      <w:r w:rsidR="00962DE6">
        <w:t>I</w:t>
      </w:r>
      <w:r w:rsidR="00E26B17" w:rsidRPr="00F36999">
        <w:t xml:space="preserve">ncluye </w:t>
      </w:r>
      <w:r w:rsidR="00A91E29">
        <w:t>las cuentas</w:t>
      </w:r>
      <w:r w:rsidR="00E26B17" w:rsidRPr="00F36999">
        <w:t xml:space="preserve"> </w:t>
      </w:r>
      <w:r w:rsidR="00CA135A">
        <w:t>de</w:t>
      </w:r>
      <w:r w:rsidR="00C13FC8">
        <w:t xml:space="preserve"> personas naturales</w:t>
      </w:r>
      <w:r w:rsidR="00E26B17" w:rsidRPr="00F36999">
        <w:t xml:space="preserve"> </w:t>
      </w:r>
      <w:r w:rsidR="00D25D39">
        <w:t>en</w:t>
      </w:r>
      <w:r w:rsidR="00E26B17" w:rsidRPr="00F36999">
        <w:t xml:space="preserve"> las que el componente de remuneración no es relevante en la decisión del cliente de mantener los </w:t>
      </w:r>
      <w:r w:rsidR="00CA135A">
        <w:t xml:space="preserve">depósitos </w:t>
      </w:r>
      <w:r w:rsidR="00E26B17" w:rsidRPr="00F36999">
        <w:t>en la cuenta</w:t>
      </w:r>
      <w:r w:rsidR="008B01DB">
        <w:t xml:space="preserve">. </w:t>
      </w:r>
      <w:r w:rsidR="008B01DB" w:rsidRPr="008B01DB">
        <w:t xml:space="preserve">Se considera que los depósitos judiciales y aquellos realizados por clientes de pequeñas empresas y gestionados como exposiciones minoristas </w:t>
      </w:r>
      <w:r w:rsidR="008B6987">
        <w:t xml:space="preserve">también </w:t>
      </w:r>
      <w:r w:rsidR="008B01DB" w:rsidRPr="008B01DB">
        <w:t xml:space="preserve">tienen características de riesgo de tasa de interés similares a las de las cuentas minoristas y, por lo tanto, pueden tratarse como depósitos minoristas. Los depósitos minoristas deben considerarse mantenidos en una cuenta transaccional cuando se realizan transacciones regulares en esa cuenta o cuando el depósito no genera intereses. </w:t>
      </w:r>
    </w:p>
    <w:p w14:paraId="6D52768B" w14:textId="552835E5" w:rsidR="00E26B17" w:rsidRPr="00F36999" w:rsidRDefault="00BC34B8" w:rsidP="00325463">
      <w:pPr>
        <w:pStyle w:val="Prrafodelista"/>
        <w:numPr>
          <w:ilvl w:val="0"/>
          <w:numId w:val="8"/>
        </w:numPr>
        <w:ind w:left="567" w:hanging="283"/>
      </w:pPr>
      <w:r>
        <w:rPr>
          <w:i/>
        </w:rPr>
        <w:t>D</w:t>
      </w:r>
      <w:r w:rsidR="00E26B17" w:rsidRPr="00F36999">
        <w:rPr>
          <w:i/>
        </w:rPr>
        <w:t>epósitos minoristas no transaccionales</w:t>
      </w:r>
      <w:r w:rsidR="00A71CD8">
        <w:rPr>
          <w:i/>
        </w:rPr>
        <w:t>.</w:t>
      </w:r>
      <w:r w:rsidR="00E26B17" w:rsidRPr="00F36999">
        <w:t xml:space="preserve"> </w:t>
      </w:r>
      <w:r w:rsidR="00A71CD8">
        <w:t>I</w:t>
      </w:r>
      <w:r w:rsidR="00E26B17" w:rsidRPr="00F36999">
        <w:t xml:space="preserve">ncluye </w:t>
      </w:r>
      <w:r w:rsidR="00AC2871" w:rsidRPr="00AC2871">
        <w:t xml:space="preserve">las cuentas </w:t>
      </w:r>
      <w:r w:rsidR="00CA135A">
        <w:t>d</w:t>
      </w:r>
      <w:r w:rsidR="00AC2871" w:rsidRPr="00AC2871">
        <w:t>e personas naturales</w:t>
      </w:r>
      <w:r w:rsidR="00E26B17" w:rsidRPr="00F36999">
        <w:t xml:space="preserve"> (</w:t>
      </w:r>
      <w:r w:rsidR="00962DE6">
        <w:t>contempla</w:t>
      </w:r>
      <w:r w:rsidR="00E26B17" w:rsidRPr="00F36999">
        <w:t xml:space="preserve"> las reguladas) cuyo componente de remuneración es relevante en la decisión del cliente de mantener </w:t>
      </w:r>
      <w:r w:rsidR="00C354D3" w:rsidRPr="00F36999">
        <w:t xml:space="preserve">sus </w:t>
      </w:r>
      <w:r w:rsidR="00E26B17" w:rsidRPr="00F36999">
        <w:t>fondos.</w:t>
      </w:r>
      <w:r w:rsidR="001B7603">
        <w:t xml:space="preserve"> </w:t>
      </w:r>
    </w:p>
    <w:p w14:paraId="673E6840" w14:textId="547F0762" w:rsidR="00D05193" w:rsidRDefault="00BC34B8" w:rsidP="00325463">
      <w:pPr>
        <w:pStyle w:val="Prrafodelista"/>
        <w:numPr>
          <w:ilvl w:val="0"/>
          <w:numId w:val="8"/>
        </w:numPr>
        <w:ind w:left="567" w:hanging="283"/>
      </w:pPr>
      <w:r w:rsidRPr="00CA135A">
        <w:rPr>
          <w:i/>
        </w:rPr>
        <w:t>D</w:t>
      </w:r>
      <w:r w:rsidR="00E26B17" w:rsidRPr="00CA135A">
        <w:rPr>
          <w:i/>
        </w:rPr>
        <w:t>epósitos mayoristas</w:t>
      </w:r>
      <w:r w:rsidR="00A71CD8" w:rsidRPr="00CA135A">
        <w:rPr>
          <w:i/>
        </w:rPr>
        <w:t>.</w:t>
      </w:r>
      <w:r w:rsidR="00E26B17" w:rsidRPr="00F36999">
        <w:t xml:space="preserve"> </w:t>
      </w:r>
      <w:r w:rsidR="00A71CD8">
        <w:t>C</w:t>
      </w:r>
      <w:r w:rsidR="00E26B17" w:rsidRPr="00F36999">
        <w:t xml:space="preserve">omprende las cuentas de empresas y otros clientes mayoristas, las cuentas interbancarias u otras cuentas </w:t>
      </w:r>
      <w:r w:rsidR="00C354D3" w:rsidRPr="00F36999">
        <w:t xml:space="preserve">altamente </w:t>
      </w:r>
      <w:r w:rsidR="00E26B17" w:rsidRPr="00F36999">
        <w:t xml:space="preserve">sensibles al precio. </w:t>
      </w:r>
      <w:r w:rsidR="00962DE6">
        <w:t>En esta categoría l</w:t>
      </w:r>
      <w:r w:rsidR="00E26B17" w:rsidRPr="00F36999">
        <w:t xml:space="preserve">a entidad </w:t>
      </w:r>
      <w:r w:rsidR="00032742">
        <w:t>debe analizar</w:t>
      </w:r>
      <w:r w:rsidR="00E26B17" w:rsidRPr="00F36999">
        <w:t xml:space="preserve"> de forma independiente </w:t>
      </w:r>
      <w:r w:rsidR="007170F7" w:rsidRPr="00F36999">
        <w:t xml:space="preserve">los </w:t>
      </w:r>
      <w:r w:rsidR="00E26B17" w:rsidRPr="00F36999">
        <w:t xml:space="preserve">depósitos a la vista </w:t>
      </w:r>
      <w:r w:rsidR="00962DE6">
        <w:t xml:space="preserve">respecto </w:t>
      </w:r>
      <w:r w:rsidR="00E26B17" w:rsidRPr="00F36999">
        <w:t>de los fondos de inversión colectiva, de</w:t>
      </w:r>
      <w:r w:rsidR="001F64BC">
        <w:t xml:space="preserve"> </w:t>
      </w:r>
      <w:r w:rsidR="00E26B17" w:rsidRPr="00F36999">
        <w:t>l</w:t>
      </w:r>
      <w:r w:rsidR="001F64BC">
        <w:t>as</w:t>
      </w:r>
      <w:r w:rsidR="00E26B17" w:rsidRPr="00F36999">
        <w:t xml:space="preserve"> </w:t>
      </w:r>
      <w:r w:rsidR="001F64BC">
        <w:t xml:space="preserve">entidades del </w:t>
      </w:r>
      <w:r w:rsidR="00E26B17" w:rsidRPr="00F36999">
        <w:t xml:space="preserve">sector público, </w:t>
      </w:r>
      <w:r w:rsidR="00A92119" w:rsidRPr="00F36999">
        <w:t>de las</w:t>
      </w:r>
      <w:r w:rsidR="00E26B17" w:rsidRPr="00F36999">
        <w:t xml:space="preserve"> entidades financieras</w:t>
      </w:r>
      <w:r w:rsidR="006A5F08">
        <w:t>,</w:t>
      </w:r>
      <w:r w:rsidR="00E26B17" w:rsidRPr="00F36999">
        <w:t xml:space="preserve"> </w:t>
      </w:r>
      <w:r w:rsidR="006A5F08">
        <w:t>empresas del</w:t>
      </w:r>
      <w:r w:rsidR="00E26B17" w:rsidRPr="00F36999">
        <w:t xml:space="preserve"> sector real</w:t>
      </w:r>
      <w:r w:rsidR="006A5F08">
        <w:t xml:space="preserve"> y empresas uniperso</w:t>
      </w:r>
      <w:r w:rsidR="000A422E">
        <w:t>nales</w:t>
      </w:r>
      <w:r w:rsidR="00E26B17" w:rsidRPr="00F36999">
        <w:t>.</w:t>
      </w:r>
    </w:p>
    <w:p w14:paraId="56C26A39" w14:textId="1568907C" w:rsidR="00A50955" w:rsidRDefault="00077BE6" w:rsidP="00536F23">
      <w:pPr>
        <w:pStyle w:val="Prrafodelista"/>
        <w:numPr>
          <w:ilvl w:val="2"/>
          <w:numId w:val="11"/>
        </w:numPr>
        <w:ind w:left="284" w:hanging="284"/>
      </w:pPr>
      <w:r w:rsidRPr="00077BE6">
        <w:t>La entidad deb</w:t>
      </w:r>
      <w:r w:rsidR="00461904">
        <w:t>e</w:t>
      </w:r>
      <w:r w:rsidRPr="00077BE6">
        <w:t xml:space="preserve"> clasificar sus posiciones pasivas sin flujos futuros conocidos (NMD) en estables y no estables utilizando los cambios de volumen observados durante los últimos 10 años. La porción estable de los NMD es aquella que se mantiene sin retirar con un alto grado de probabilidad. Los depósitos básicos </w:t>
      </w:r>
      <w:r w:rsidRPr="00CA135A">
        <w:rPr>
          <w:i/>
          <w:iCs/>
        </w:rPr>
        <w:t>(</w:t>
      </w:r>
      <w:proofErr w:type="spellStart"/>
      <w:r w:rsidRPr="00CA135A">
        <w:rPr>
          <w:i/>
          <w:iCs/>
        </w:rPr>
        <w:t>core</w:t>
      </w:r>
      <w:proofErr w:type="spellEnd"/>
      <w:r w:rsidRPr="00CA135A">
        <w:rPr>
          <w:i/>
          <w:iCs/>
        </w:rPr>
        <w:t>)</w:t>
      </w:r>
      <w:r w:rsidRPr="00077BE6">
        <w:t xml:space="preserve"> son la proporción de NMD estables que son poco probables que se </w:t>
      </w:r>
      <w:proofErr w:type="spellStart"/>
      <w:r w:rsidRPr="00077BE6">
        <w:t>reprecien</w:t>
      </w:r>
      <w:proofErr w:type="spellEnd"/>
      <w:r w:rsidRPr="00077BE6">
        <w:t xml:space="preserve"> </w:t>
      </w:r>
      <w:r w:rsidR="002F1EEE" w:rsidRPr="00077BE6">
        <w:t>aun</w:t>
      </w:r>
      <w:r w:rsidRPr="00077BE6">
        <w:t xml:space="preserve"> cuando </w:t>
      </w:r>
      <w:r w:rsidR="006513DC" w:rsidRPr="00077BE6">
        <w:t>haya</w:t>
      </w:r>
      <w:r w:rsidRPr="00077BE6">
        <w:t xml:space="preserve"> cambios significativos en las tasas de interés</w:t>
      </w:r>
      <w:r w:rsidR="000108C0">
        <w:t>; l</w:t>
      </w:r>
      <w:r w:rsidRPr="00077BE6">
        <w:t xml:space="preserve">a parte restante constituye los NMD no básicos </w:t>
      </w:r>
      <w:r w:rsidRPr="00CA135A">
        <w:rPr>
          <w:i/>
          <w:iCs/>
        </w:rPr>
        <w:t>(non-</w:t>
      </w:r>
      <w:proofErr w:type="spellStart"/>
      <w:r w:rsidRPr="00CA135A">
        <w:rPr>
          <w:i/>
          <w:iCs/>
        </w:rPr>
        <w:t>core</w:t>
      </w:r>
      <w:proofErr w:type="spellEnd"/>
      <w:r w:rsidRPr="00CA135A">
        <w:rPr>
          <w:i/>
          <w:iCs/>
        </w:rPr>
        <w:t>)</w:t>
      </w:r>
      <w:r w:rsidRPr="00077BE6">
        <w:t>.</w:t>
      </w:r>
      <w:r w:rsidR="001B0652">
        <w:t xml:space="preserve"> </w:t>
      </w:r>
    </w:p>
    <w:p w14:paraId="26E58C75" w14:textId="377F912F" w:rsidR="00A50955" w:rsidRDefault="00323952" w:rsidP="00536F23">
      <w:pPr>
        <w:pStyle w:val="Prrafodelista"/>
        <w:numPr>
          <w:ilvl w:val="2"/>
          <w:numId w:val="11"/>
        </w:numPr>
        <w:ind w:left="284" w:hanging="284"/>
      </w:pPr>
      <w:r>
        <w:t xml:space="preserve">Así mismo </w:t>
      </w:r>
      <w:r w:rsidR="00940064">
        <w:t>la enti</w:t>
      </w:r>
      <w:r w:rsidR="00C76E32">
        <w:t>dad</w:t>
      </w:r>
      <w:r w:rsidR="006431DE">
        <w:t xml:space="preserve"> debe</w:t>
      </w:r>
      <w:r w:rsidR="00C76E32" w:rsidRPr="00C76E32">
        <w:t xml:space="preserve"> estimar su nivel de depósitos básicos y luego agregar los resultados para determinar el volumen general de depósitos básicos sujetos a </w:t>
      </w:r>
      <w:r w:rsidR="00A14631">
        <w:t>los límites</w:t>
      </w:r>
      <w:r w:rsidR="00C76E32" w:rsidRPr="00C76E32">
        <w:t xml:space="preserve"> </w:t>
      </w:r>
      <w:r w:rsidR="00CA135A">
        <w:t xml:space="preserve">que se </w:t>
      </w:r>
      <w:r>
        <w:t xml:space="preserve">establecen </w:t>
      </w:r>
      <w:r w:rsidR="00C76E32" w:rsidRPr="00C76E32">
        <w:t xml:space="preserve">en la Tabla </w:t>
      </w:r>
      <w:r w:rsidR="00FE7622">
        <w:t>5</w:t>
      </w:r>
      <w:r w:rsidR="00C76E32" w:rsidRPr="00C76E32">
        <w:t>.</w:t>
      </w:r>
    </w:p>
    <w:p w14:paraId="52A413AA" w14:textId="6E61D782" w:rsidR="00C76E32" w:rsidRDefault="003E3856" w:rsidP="00536F23">
      <w:pPr>
        <w:pStyle w:val="Prrafodelista"/>
        <w:numPr>
          <w:ilvl w:val="2"/>
          <w:numId w:val="11"/>
        </w:numPr>
        <w:ind w:left="284" w:hanging="284"/>
      </w:pPr>
      <w:r>
        <w:t>L</w:t>
      </w:r>
      <w:r w:rsidR="00676391" w:rsidRPr="00676391">
        <w:t xml:space="preserve">os NMD deben ubicarse en el intervalo de tiempo apropiado o en el punto medio del intervalo de tiempo. Los depósitos no </w:t>
      </w:r>
      <w:r w:rsidR="002F1EEE">
        <w:t>básicos</w:t>
      </w:r>
      <w:r w:rsidR="00676391" w:rsidRPr="00676391">
        <w:t xml:space="preserve"> deben considerarse depósitos a un día y, en consecuencia, deben colocarse en el intervalo de tiempo más corto</w:t>
      </w:r>
      <w:r w:rsidR="00B84282">
        <w:t>/ overnight</w:t>
      </w:r>
      <w:r w:rsidR="00676391" w:rsidRPr="00676391">
        <w:t xml:space="preserve"> o punto medio del intervalo de tiempo.</w:t>
      </w:r>
    </w:p>
    <w:p w14:paraId="778B4393" w14:textId="77777777" w:rsidR="001F494D" w:rsidRDefault="001F494D" w:rsidP="00A75EBC"/>
    <w:p w14:paraId="14119B8E" w14:textId="44DE78C0" w:rsidR="001F494D" w:rsidRDefault="001F494D" w:rsidP="00A75EBC">
      <w:r w:rsidRPr="00962DE6">
        <w:t xml:space="preserve">La entidad debe determinar un procedimiento </w:t>
      </w:r>
      <w:r w:rsidR="00762858">
        <w:t xml:space="preserve">apropiado </w:t>
      </w:r>
      <w:r w:rsidRPr="00962DE6">
        <w:t xml:space="preserve">de asignación de </w:t>
      </w:r>
      <w:r w:rsidR="00962DE6" w:rsidRPr="00962DE6">
        <w:t xml:space="preserve">los </w:t>
      </w:r>
      <w:r w:rsidRPr="00962DE6">
        <w:t>flujos de efectivo para cada categoría de los depósitos básicos, hasta el vencimiento promedio máximo por categoría</w:t>
      </w:r>
      <w:r w:rsidR="00962DE6">
        <w:t>, según los parámetros</w:t>
      </w:r>
      <w:r w:rsidRPr="00962DE6">
        <w:t xml:space="preserve"> establecido</w:t>
      </w:r>
      <w:r w:rsidR="00962DE6">
        <w:t>s</w:t>
      </w:r>
      <w:r w:rsidRPr="00962DE6">
        <w:t xml:space="preserve"> en la Tabla 5.</w:t>
      </w:r>
    </w:p>
    <w:p w14:paraId="69AE652E" w14:textId="77777777" w:rsidR="001F494D" w:rsidRDefault="001F494D" w:rsidP="00A75EBC"/>
    <w:p w14:paraId="700E09FA" w14:textId="7B41E3D7" w:rsidR="00E26B17" w:rsidRPr="006513DC" w:rsidRDefault="00245853" w:rsidP="00A75EBC">
      <w:pPr>
        <w:rPr>
          <w:b/>
          <w:bCs/>
        </w:rPr>
      </w:pPr>
      <w:r w:rsidRPr="006513DC">
        <w:rPr>
          <w:b/>
          <w:bCs/>
        </w:rPr>
        <w:t xml:space="preserve">Tabla </w:t>
      </w:r>
      <w:r w:rsidR="00FE7622" w:rsidRPr="006513DC">
        <w:rPr>
          <w:b/>
          <w:bCs/>
        </w:rPr>
        <w:t>5</w:t>
      </w:r>
      <w:r w:rsidR="00E26B17" w:rsidRPr="006513DC">
        <w:rPr>
          <w:b/>
          <w:bCs/>
        </w:rPr>
        <w:t xml:space="preserve">: Límite sobre depósitos </w:t>
      </w:r>
      <w:r w:rsidR="00DC3D25" w:rsidRPr="006513DC">
        <w:rPr>
          <w:b/>
          <w:bCs/>
        </w:rPr>
        <w:t>básicos (</w:t>
      </w:r>
      <w:r w:rsidR="00F74837" w:rsidRPr="006513DC">
        <w:rPr>
          <w:b/>
          <w:bCs/>
        </w:rPr>
        <w:t>C</w:t>
      </w:r>
      <w:r w:rsidR="00DC3D25" w:rsidRPr="006513DC">
        <w:rPr>
          <w:b/>
          <w:bCs/>
        </w:rPr>
        <w:t xml:space="preserve">ore) </w:t>
      </w:r>
      <w:r w:rsidR="00E26B17" w:rsidRPr="006513DC">
        <w:rPr>
          <w:b/>
          <w:bCs/>
        </w:rPr>
        <w:t>y vencimiento medio máximo</w:t>
      </w:r>
    </w:p>
    <w:p w14:paraId="65A1BF51" w14:textId="77777777" w:rsidR="00E26B17" w:rsidRDefault="00E26B17" w:rsidP="00A75EBC"/>
    <w:tbl>
      <w:tblPr>
        <w:tblW w:w="7195" w:type="dxa"/>
        <w:jc w:val="center"/>
        <w:tblCellMar>
          <w:left w:w="70" w:type="dxa"/>
          <w:right w:w="70" w:type="dxa"/>
        </w:tblCellMar>
        <w:tblLook w:val="04A0" w:firstRow="1" w:lastRow="0" w:firstColumn="1" w:lastColumn="0" w:noHBand="0" w:noVBand="1"/>
      </w:tblPr>
      <w:tblGrid>
        <w:gridCol w:w="2825"/>
        <w:gridCol w:w="2723"/>
        <w:gridCol w:w="1647"/>
      </w:tblGrid>
      <w:tr w:rsidR="00E26B17" w:rsidRPr="00AD2516" w14:paraId="66B68E08" w14:textId="77777777" w:rsidTr="008F4C83">
        <w:trPr>
          <w:trHeight w:val="176"/>
          <w:jc w:val="center"/>
        </w:trPr>
        <w:tc>
          <w:tcPr>
            <w:tcW w:w="2825" w:type="dxa"/>
            <w:tcBorders>
              <w:top w:val="single" w:sz="8" w:space="0" w:color="auto"/>
              <w:left w:val="single" w:sz="8" w:space="0" w:color="auto"/>
              <w:bottom w:val="single" w:sz="4" w:space="0" w:color="auto"/>
              <w:right w:val="nil"/>
            </w:tcBorders>
            <w:shd w:val="clear" w:color="000000" w:fill="FFFFFF"/>
            <w:vAlign w:val="center"/>
            <w:hideMark/>
          </w:tcPr>
          <w:p w14:paraId="09357E3D" w14:textId="77777777" w:rsidR="00E26B17" w:rsidRPr="00AD2516" w:rsidRDefault="00E26B17" w:rsidP="000C1F67">
            <w:pPr>
              <w:jc w:val="center"/>
              <w:rPr>
                <w:b/>
                <w:bCs/>
                <w:sz w:val="16"/>
                <w:szCs w:val="16"/>
                <w:lang w:eastAsia="es-CO"/>
              </w:rPr>
            </w:pPr>
            <w:r w:rsidRPr="00AD2516">
              <w:rPr>
                <w:b/>
                <w:bCs/>
                <w:sz w:val="16"/>
                <w:szCs w:val="16"/>
                <w:lang w:eastAsia="es-CO"/>
              </w:rPr>
              <w:t>Categoría</w:t>
            </w:r>
          </w:p>
        </w:tc>
        <w:tc>
          <w:tcPr>
            <w:tcW w:w="2723"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6438AEA5" w14:textId="27F2A9AA" w:rsidR="00E26B17" w:rsidRPr="00AD2516" w:rsidRDefault="00362687" w:rsidP="000C1F67">
            <w:pPr>
              <w:jc w:val="center"/>
              <w:rPr>
                <w:b/>
                <w:bCs/>
                <w:sz w:val="16"/>
                <w:szCs w:val="16"/>
                <w:lang w:eastAsia="es-CO"/>
              </w:rPr>
            </w:pPr>
            <w:r w:rsidRPr="00AD2516">
              <w:rPr>
                <w:b/>
                <w:bCs/>
                <w:sz w:val="16"/>
                <w:szCs w:val="16"/>
                <w:lang w:eastAsia="es-CO"/>
              </w:rPr>
              <w:t xml:space="preserve">Límite máximo de proporción básica (%)  </w:t>
            </w:r>
            <m:oMath>
              <m:sSup>
                <m:sSupPr>
                  <m:ctrlPr>
                    <w:rPr>
                      <w:rFonts w:ascii="Cambria Math" w:hAnsi="Cambria Math" w:cs="Cambria Math"/>
                      <w:b/>
                      <w:bCs/>
                      <w:i/>
                      <w:sz w:val="16"/>
                      <w:szCs w:val="16"/>
                      <w:lang w:eastAsia="es-CO"/>
                    </w:rPr>
                  </m:ctrlPr>
                </m:sSupPr>
                <m:e>
                  <m:r>
                    <m:rPr>
                      <m:sty m:val="bi"/>
                    </m:rPr>
                    <w:rPr>
                      <w:rFonts w:ascii="Cambria Math" w:hAnsi="Cambria Math" w:cs="Cambria Math"/>
                      <w:sz w:val="16"/>
                      <w:szCs w:val="16"/>
                      <w:lang w:eastAsia="es-CO"/>
                    </w:rPr>
                    <m:t>ω</m:t>
                  </m:r>
                </m:e>
                <m:sup>
                  <m:r>
                    <m:rPr>
                      <m:sty m:val="bi"/>
                    </m:rPr>
                    <w:rPr>
                      <w:rFonts w:ascii="Cambria Math" w:hAnsi="Cambria Math" w:cs="Cambria Math"/>
                      <w:sz w:val="16"/>
                      <w:szCs w:val="16"/>
                      <w:lang w:eastAsia="es-CO"/>
                    </w:rPr>
                    <m:t>+</m:t>
                  </m:r>
                </m:sup>
              </m:sSup>
            </m:oMath>
          </w:p>
        </w:tc>
        <w:tc>
          <w:tcPr>
            <w:tcW w:w="1647" w:type="dxa"/>
            <w:tcBorders>
              <w:top w:val="single" w:sz="8" w:space="0" w:color="auto"/>
              <w:left w:val="nil"/>
              <w:bottom w:val="single" w:sz="4" w:space="0" w:color="auto"/>
              <w:right w:val="single" w:sz="8" w:space="0" w:color="auto"/>
            </w:tcBorders>
            <w:shd w:val="clear" w:color="000000" w:fill="FFFFFF"/>
            <w:vAlign w:val="center"/>
            <w:hideMark/>
          </w:tcPr>
          <w:p w14:paraId="6D90CA87" w14:textId="084BD3FE" w:rsidR="00E26B17" w:rsidRPr="00AD2516" w:rsidRDefault="00362687" w:rsidP="000C1F67">
            <w:pPr>
              <w:jc w:val="center"/>
              <w:rPr>
                <w:b/>
                <w:bCs/>
                <w:sz w:val="16"/>
                <w:szCs w:val="16"/>
                <w:lang w:eastAsia="es-CO"/>
              </w:rPr>
            </w:pPr>
            <w:r w:rsidRPr="00AD2516">
              <w:rPr>
                <w:b/>
                <w:bCs/>
                <w:sz w:val="16"/>
                <w:szCs w:val="16"/>
                <w:lang w:eastAsia="es-CO"/>
              </w:rPr>
              <w:t xml:space="preserve">Límite máximo de vencimiento  </w:t>
            </w:r>
            <m:oMath>
              <m:sSup>
                <m:sSupPr>
                  <m:ctrlPr>
                    <w:rPr>
                      <w:rFonts w:ascii="Cambria Math" w:hAnsi="Cambria Math"/>
                      <w:b/>
                      <w:bCs/>
                      <w:i/>
                      <w:sz w:val="16"/>
                      <w:szCs w:val="16"/>
                      <w:lang w:eastAsia="es-CO"/>
                    </w:rPr>
                  </m:ctrlPr>
                </m:sSupPr>
                <m:e>
                  <m:r>
                    <m:rPr>
                      <m:sty m:val="bi"/>
                    </m:rPr>
                    <w:rPr>
                      <w:rFonts w:ascii="Cambria Math" w:hAnsi="Cambria Math"/>
                      <w:sz w:val="16"/>
                      <w:szCs w:val="16"/>
                      <w:lang w:eastAsia="es-CO"/>
                    </w:rPr>
                    <m:t>t</m:t>
                  </m:r>
                </m:e>
                <m:sup>
                  <m:r>
                    <m:rPr>
                      <m:sty m:val="bi"/>
                    </m:rPr>
                    <w:rPr>
                      <w:rFonts w:ascii="Cambria Math" w:hAnsi="Cambria Math"/>
                      <w:sz w:val="16"/>
                      <w:szCs w:val="16"/>
                      <w:lang w:eastAsia="es-CO"/>
                    </w:rPr>
                    <m:t>+</m:t>
                  </m:r>
                </m:sup>
              </m:sSup>
            </m:oMath>
          </w:p>
        </w:tc>
      </w:tr>
      <w:tr w:rsidR="00E26B17" w:rsidRPr="00AD2516" w14:paraId="62844039" w14:textId="77777777" w:rsidTr="009C7196">
        <w:trPr>
          <w:trHeight w:val="168"/>
          <w:jc w:val="center"/>
        </w:trPr>
        <w:tc>
          <w:tcPr>
            <w:tcW w:w="2825" w:type="dxa"/>
            <w:tcBorders>
              <w:top w:val="nil"/>
              <w:left w:val="single" w:sz="8" w:space="0" w:color="auto"/>
              <w:bottom w:val="nil"/>
              <w:right w:val="nil"/>
            </w:tcBorders>
            <w:shd w:val="clear" w:color="000000" w:fill="FFFFFF"/>
            <w:noWrap/>
            <w:vAlign w:val="bottom"/>
            <w:hideMark/>
          </w:tcPr>
          <w:p w14:paraId="0473C5D1" w14:textId="4F1C81BE" w:rsidR="00E26B17" w:rsidRPr="00AD2516" w:rsidRDefault="00922287" w:rsidP="00A75EBC">
            <w:pPr>
              <w:rPr>
                <w:b/>
                <w:bCs/>
                <w:sz w:val="16"/>
                <w:szCs w:val="16"/>
                <w:lang w:eastAsia="es-CO"/>
              </w:rPr>
            </w:pPr>
            <w:r w:rsidRPr="00AD2516">
              <w:rPr>
                <w:b/>
                <w:bCs/>
                <w:sz w:val="16"/>
                <w:szCs w:val="16"/>
                <w:lang w:eastAsia="es-CO"/>
              </w:rPr>
              <w:t xml:space="preserve">Minorista </w:t>
            </w:r>
            <w:r w:rsidR="00E26B17" w:rsidRPr="00AD2516">
              <w:rPr>
                <w:b/>
                <w:bCs/>
                <w:sz w:val="16"/>
                <w:szCs w:val="16"/>
                <w:lang w:eastAsia="es-CO"/>
              </w:rPr>
              <w:t>Transaccional</w:t>
            </w:r>
          </w:p>
        </w:tc>
        <w:tc>
          <w:tcPr>
            <w:tcW w:w="2723" w:type="dxa"/>
            <w:tcBorders>
              <w:top w:val="nil"/>
              <w:left w:val="single" w:sz="4" w:space="0" w:color="auto"/>
              <w:bottom w:val="nil"/>
              <w:right w:val="single" w:sz="4" w:space="0" w:color="auto"/>
            </w:tcBorders>
            <w:shd w:val="clear" w:color="000000" w:fill="FFFFFF"/>
            <w:noWrap/>
            <w:vAlign w:val="center"/>
            <w:hideMark/>
          </w:tcPr>
          <w:p w14:paraId="68788E88" w14:textId="77777777" w:rsidR="00E26B17" w:rsidRPr="00AD2516" w:rsidRDefault="00E26B17" w:rsidP="009C7196">
            <w:pPr>
              <w:jc w:val="center"/>
              <w:rPr>
                <w:sz w:val="16"/>
                <w:szCs w:val="16"/>
                <w:lang w:eastAsia="es-CO"/>
              </w:rPr>
            </w:pPr>
            <w:r w:rsidRPr="00AD2516">
              <w:rPr>
                <w:sz w:val="16"/>
                <w:szCs w:val="16"/>
                <w:lang w:eastAsia="es-CO"/>
              </w:rPr>
              <w:t>90%</w:t>
            </w:r>
          </w:p>
        </w:tc>
        <w:tc>
          <w:tcPr>
            <w:tcW w:w="1647" w:type="dxa"/>
            <w:tcBorders>
              <w:top w:val="nil"/>
              <w:left w:val="nil"/>
              <w:bottom w:val="nil"/>
              <w:right w:val="single" w:sz="8" w:space="0" w:color="auto"/>
            </w:tcBorders>
            <w:shd w:val="clear" w:color="000000" w:fill="FFFFFF"/>
            <w:noWrap/>
            <w:vAlign w:val="center"/>
            <w:hideMark/>
          </w:tcPr>
          <w:p w14:paraId="7400ECAB" w14:textId="77777777" w:rsidR="00E26B17" w:rsidRPr="00AD2516" w:rsidRDefault="00E26B17" w:rsidP="009C7196">
            <w:pPr>
              <w:jc w:val="center"/>
              <w:rPr>
                <w:sz w:val="16"/>
                <w:szCs w:val="16"/>
                <w:lang w:eastAsia="es-CO"/>
              </w:rPr>
            </w:pPr>
            <w:r w:rsidRPr="00AD2516">
              <w:rPr>
                <w:sz w:val="16"/>
                <w:szCs w:val="16"/>
                <w:lang w:eastAsia="es-CO"/>
              </w:rPr>
              <w:t>5</w:t>
            </w:r>
          </w:p>
        </w:tc>
      </w:tr>
      <w:tr w:rsidR="00E26B17" w:rsidRPr="00AD2516" w14:paraId="15CD9817" w14:textId="77777777" w:rsidTr="009C7196">
        <w:trPr>
          <w:trHeight w:val="168"/>
          <w:jc w:val="center"/>
        </w:trPr>
        <w:tc>
          <w:tcPr>
            <w:tcW w:w="2825" w:type="dxa"/>
            <w:tcBorders>
              <w:top w:val="nil"/>
              <w:left w:val="single" w:sz="8" w:space="0" w:color="auto"/>
              <w:bottom w:val="nil"/>
              <w:right w:val="nil"/>
            </w:tcBorders>
            <w:shd w:val="clear" w:color="000000" w:fill="FFFFFF"/>
            <w:noWrap/>
            <w:vAlign w:val="bottom"/>
            <w:hideMark/>
          </w:tcPr>
          <w:p w14:paraId="06A0BE53" w14:textId="77777777" w:rsidR="00E26B17" w:rsidRPr="00AD2516" w:rsidRDefault="00E26B17" w:rsidP="00A75EBC">
            <w:pPr>
              <w:rPr>
                <w:b/>
                <w:bCs/>
                <w:sz w:val="16"/>
                <w:szCs w:val="16"/>
                <w:lang w:eastAsia="es-CO"/>
              </w:rPr>
            </w:pPr>
            <w:r w:rsidRPr="00AD2516">
              <w:rPr>
                <w:b/>
                <w:bCs/>
                <w:sz w:val="16"/>
                <w:szCs w:val="16"/>
                <w:lang w:eastAsia="es-CO"/>
              </w:rPr>
              <w:t xml:space="preserve">Minorista no transaccional </w:t>
            </w:r>
          </w:p>
        </w:tc>
        <w:tc>
          <w:tcPr>
            <w:tcW w:w="2723" w:type="dxa"/>
            <w:tcBorders>
              <w:top w:val="nil"/>
              <w:left w:val="single" w:sz="4" w:space="0" w:color="auto"/>
              <w:bottom w:val="nil"/>
              <w:right w:val="single" w:sz="4" w:space="0" w:color="auto"/>
            </w:tcBorders>
            <w:shd w:val="clear" w:color="000000" w:fill="FFFFFF"/>
            <w:noWrap/>
            <w:vAlign w:val="center"/>
            <w:hideMark/>
          </w:tcPr>
          <w:p w14:paraId="5FB2340B" w14:textId="77777777" w:rsidR="00E26B17" w:rsidRPr="00AD2516" w:rsidRDefault="00E26B17" w:rsidP="009C7196">
            <w:pPr>
              <w:jc w:val="center"/>
              <w:rPr>
                <w:sz w:val="16"/>
                <w:szCs w:val="16"/>
                <w:lang w:eastAsia="es-CO"/>
              </w:rPr>
            </w:pPr>
            <w:r w:rsidRPr="00AD2516">
              <w:rPr>
                <w:sz w:val="16"/>
                <w:szCs w:val="16"/>
                <w:lang w:eastAsia="es-CO"/>
              </w:rPr>
              <w:t>70%</w:t>
            </w:r>
          </w:p>
        </w:tc>
        <w:tc>
          <w:tcPr>
            <w:tcW w:w="1647" w:type="dxa"/>
            <w:tcBorders>
              <w:top w:val="nil"/>
              <w:left w:val="nil"/>
              <w:bottom w:val="nil"/>
              <w:right w:val="single" w:sz="8" w:space="0" w:color="auto"/>
            </w:tcBorders>
            <w:shd w:val="clear" w:color="000000" w:fill="FFFFFF"/>
            <w:noWrap/>
            <w:vAlign w:val="center"/>
            <w:hideMark/>
          </w:tcPr>
          <w:p w14:paraId="5283652F" w14:textId="71CD8E8E" w:rsidR="00E26B17" w:rsidRPr="00AD2516" w:rsidRDefault="00E26B17" w:rsidP="009C7196">
            <w:pPr>
              <w:jc w:val="center"/>
              <w:rPr>
                <w:sz w:val="16"/>
                <w:szCs w:val="16"/>
                <w:lang w:eastAsia="es-CO"/>
              </w:rPr>
            </w:pPr>
            <w:r w:rsidRPr="00AD2516">
              <w:rPr>
                <w:sz w:val="16"/>
                <w:szCs w:val="16"/>
                <w:lang w:eastAsia="es-CO"/>
              </w:rPr>
              <w:t>4</w:t>
            </w:r>
            <w:r w:rsidR="009C7196" w:rsidRPr="00AD2516">
              <w:rPr>
                <w:sz w:val="16"/>
                <w:szCs w:val="16"/>
                <w:lang w:eastAsia="es-CO"/>
              </w:rPr>
              <w:t>.</w:t>
            </w:r>
            <w:r w:rsidRPr="00AD2516">
              <w:rPr>
                <w:sz w:val="16"/>
                <w:szCs w:val="16"/>
                <w:lang w:eastAsia="es-CO"/>
              </w:rPr>
              <w:t>5</w:t>
            </w:r>
          </w:p>
        </w:tc>
      </w:tr>
      <w:tr w:rsidR="00E26B17" w:rsidRPr="00AD2516" w14:paraId="06F53E71" w14:textId="77777777" w:rsidTr="009C7196">
        <w:trPr>
          <w:trHeight w:val="176"/>
          <w:jc w:val="center"/>
        </w:trPr>
        <w:tc>
          <w:tcPr>
            <w:tcW w:w="2825" w:type="dxa"/>
            <w:tcBorders>
              <w:top w:val="nil"/>
              <w:left w:val="single" w:sz="8" w:space="0" w:color="auto"/>
              <w:bottom w:val="single" w:sz="8" w:space="0" w:color="auto"/>
              <w:right w:val="nil"/>
            </w:tcBorders>
            <w:shd w:val="clear" w:color="000000" w:fill="FFFFFF"/>
            <w:noWrap/>
            <w:vAlign w:val="bottom"/>
            <w:hideMark/>
          </w:tcPr>
          <w:p w14:paraId="0B505FEF" w14:textId="77777777" w:rsidR="00E26B17" w:rsidRPr="00AD2516" w:rsidRDefault="00E26B17" w:rsidP="00A75EBC">
            <w:pPr>
              <w:rPr>
                <w:b/>
                <w:bCs/>
                <w:sz w:val="16"/>
                <w:szCs w:val="16"/>
                <w:lang w:eastAsia="es-CO"/>
              </w:rPr>
            </w:pPr>
            <w:r w:rsidRPr="00AD2516">
              <w:rPr>
                <w:b/>
                <w:bCs/>
                <w:sz w:val="16"/>
                <w:szCs w:val="16"/>
                <w:lang w:eastAsia="es-CO"/>
              </w:rPr>
              <w:t>Mayorista</w:t>
            </w:r>
          </w:p>
        </w:tc>
        <w:tc>
          <w:tcPr>
            <w:tcW w:w="2723" w:type="dxa"/>
            <w:tcBorders>
              <w:top w:val="nil"/>
              <w:left w:val="single" w:sz="4" w:space="0" w:color="auto"/>
              <w:bottom w:val="single" w:sz="8" w:space="0" w:color="auto"/>
              <w:right w:val="single" w:sz="4" w:space="0" w:color="auto"/>
            </w:tcBorders>
            <w:shd w:val="clear" w:color="000000" w:fill="FFFFFF"/>
            <w:noWrap/>
            <w:vAlign w:val="center"/>
            <w:hideMark/>
          </w:tcPr>
          <w:p w14:paraId="257D026E" w14:textId="77777777" w:rsidR="00E26B17" w:rsidRPr="00AD2516" w:rsidRDefault="00E26B17" w:rsidP="009C7196">
            <w:pPr>
              <w:jc w:val="center"/>
              <w:rPr>
                <w:sz w:val="16"/>
                <w:szCs w:val="16"/>
                <w:lang w:eastAsia="es-CO"/>
              </w:rPr>
            </w:pPr>
            <w:r w:rsidRPr="00AD2516">
              <w:rPr>
                <w:sz w:val="16"/>
                <w:szCs w:val="16"/>
                <w:lang w:eastAsia="es-CO"/>
              </w:rPr>
              <w:t>50%</w:t>
            </w:r>
          </w:p>
        </w:tc>
        <w:tc>
          <w:tcPr>
            <w:tcW w:w="1647" w:type="dxa"/>
            <w:tcBorders>
              <w:top w:val="nil"/>
              <w:left w:val="nil"/>
              <w:bottom w:val="single" w:sz="8" w:space="0" w:color="auto"/>
              <w:right w:val="single" w:sz="8" w:space="0" w:color="auto"/>
            </w:tcBorders>
            <w:shd w:val="clear" w:color="000000" w:fill="FFFFFF"/>
            <w:noWrap/>
            <w:vAlign w:val="center"/>
            <w:hideMark/>
          </w:tcPr>
          <w:p w14:paraId="47D30F0D" w14:textId="77777777" w:rsidR="00E26B17" w:rsidRPr="00AD2516" w:rsidRDefault="00E26B17" w:rsidP="009C7196">
            <w:pPr>
              <w:jc w:val="center"/>
              <w:rPr>
                <w:sz w:val="16"/>
                <w:szCs w:val="16"/>
                <w:lang w:eastAsia="es-CO"/>
              </w:rPr>
            </w:pPr>
            <w:r w:rsidRPr="00AD2516">
              <w:rPr>
                <w:sz w:val="16"/>
                <w:szCs w:val="16"/>
                <w:lang w:eastAsia="es-CO"/>
              </w:rPr>
              <w:t>4</w:t>
            </w:r>
          </w:p>
        </w:tc>
      </w:tr>
    </w:tbl>
    <w:p w14:paraId="1EE0A34F" w14:textId="62F35CE0" w:rsidR="003C284D" w:rsidRDefault="003C284D" w:rsidP="00A75EBC"/>
    <w:p w14:paraId="550CCF27" w14:textId="75639A60" w:rsidR="00E223BB" w:rsidRDefault="00E223BB" w:rsidP="00A75EBC"/>
    <w:p w14:paraId="2D1D1976" w14:textId="7A24A1DC" w:rsidR="00E26B17" w:rsidRPr="006513DC" w:rsidRDefault="008E2EBD" w:rsidP="00A75EBC">
      <w:pPr>
        <w:rPr>
          <w:b/>
          <w:bCs/>
        </w:rPr>
      </w:pPr>
      <w:bookmarkStart w:id="18" w:name="_Toc83387391"/>
      <w:bookmarkStart w:id="19" w:name="_Toc85033793"/>
      <w:bookmarkStart w:id="20" w:name="_Toc89764115"/>
      <w:r>
        <w:rPr>
          <w:noProof/>
        </w:rPr>
        <w:lastRenderedPageBreak/>
        <mc:AlternateContent>
          <mc:Choice Requires="wps">
            <w:drawing>
              <wp:anchor distT="0" distB="0" distL="114300" distR="114300" simplePos="0" relativeHeight="251675648" behindDoc="0" locked="0" layoutInCell="1" allowOverlap="1" wp14:anchorId="238F5BD7" wp14:editId="10353651">
                <wp:simplePos x="0" y="0"/>
                <wp:positionH relativeFrom="column">
                  <wp:posOffset>-156210</wp:posOffset>
                </wp:positionH>
                <wp:positionV relativeFrom="paragraph">
                  <wp:posOffset>-31115</wp:posOffset>
                </wp:positionV>
                <wp:extent cx="38100" cy="10306050"/>
                <wp:effectExtent l="0" t="0" r="19050" b="19050"/>
                <wp:wrapNone/>
                <wp:docPr id="13" name="Conector recto 13"/>
                <wp:cNvGraphicFramePr/>
                <a:graphic xmlns:a="http://schemas.openxmlformats.org/drawingml/2006/main">
                  <a:graphicData uri="http://schemas.microsoft.com/office/word/2010/wordprocessingShape">
                    <wps:wsp>
                      <wps:cNvCnPr/>
                      <wps:spPr>
                        <a:xfrm>
                          <a:off x="0" y="0"/>
                          <a:ext cx="38100" cy="10306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8FEF47" id="Conector recto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pt,-2.45pt" to="-9.3pt,8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" strokecolor="black [3200]" strokeweight=".5pt">
                <v:stroke joinstyle="miter"/>
              </v:line>
            </w:pict>
          </mc:Fallback>
        </mc:AlternateContent>
      </w:r>
      <w:r w:rsidR="005B2920" w:rsidRPr="00A02549">
        <w:rPr>
          <w:b/>
          <w:bCs/>
        </w:rPr>
        <w:t xml:space="preserve">2.4.1.2 </w:t>
      </w:r>
      <w:r w:rsidR="00E26B17" w:rsidRPr="00A02549">
        <w:rPr>
          <w:b/>
          <w:bCs/>
        </w:rPr>
        <w:t>Opciones de comportamiento de clientes minoristas</w:t>
      </w:r>
      <w:bookmarkEnd w:id="18"/>
      <w:bookmarkEnd w:id="19"/>
      <w:bookmarkEnd w:id="20"/>
    </w:p>
    <w:p w14:paraId="2C1F2652" w14:textId="0B6416C9" w:rsidR="006513DC" w:rsidRDefault="006513DC" w:rsidP="00A75EBC"/>
    <w:p w14:paraId="7C9A13D7" w14:textId="0D9722F4" w:rsidR="009D6E66" w:rsidRDefault="00962DE6" w:rsidP="00A75EBC">
      <w:r w:rsidRPr="00610BFB">
        <w:t xml:space="preserve">Las instrucciones que se detallan en el presente </w:t>
      </w:r>
      <w:proofErr w:type="spellStart"/>
      <w:r w:rsidR="00C314D2" w:rsidRPr="00610BFB">
        <w:t>sub</w:t>
      </w:r>
      <w:r w:rsidRPr="00610BFB">
        <w:t>numeral</w:t>
      </w:r>
      <w:proofErr w:type="spellEnd"/>
      <w:r w:rsidRPr="00610BFB">
        <w:t xml:space="preserve"> </w:t>
      </w:r>
      <w:r w:rsidR="009D6E66" w:rsidRPr="00610BFB">
        <w:t xml:space="preserve">se </w:t>
      </w:r>
      <w:r w:rsidRPr="00610BFB">
        <w:t xml:space="preserve">deben </w:t>
      </w:r>
      <w:r w:rsidR="009D6E66" w:rsidRPr="00610BFB">
        <w:t>aplica</w:t>
      </w:r>
      <w:r w:rsidRPr="00610BFB">
        <w:t xml:space="preserve">r </w:t>
      </w:r>
      <w:r w:rsidR="00651FDA" w:rsidRPr="00610BFB">
        <w:t>para mapear los flujos de l</w:t>
      </w:r>
      <w:r w:rsidR="009D6E66" w:rsidRPr="00610BFB">
        <w:t xml:space="preserve">as </w:t>
      </w:r>
      <w:r w:rsidRPr="00610BFB">
        <w:t xml:space="preserve">exposiciones </w:t>
      </w:r>
      <w:r w:rsidR="00040663" w:rsidRPr="00610BFB">
        <w:t xml:space="preserve">con </w:t>
      </w:r>
      <w:r w:rsidR="009D6E66" w:rsidRPr="00610BFB">
        <w:t>opciones de comportamiento</w:t>
      </w:r>
      <w:r w:rsidR="00040663" w:rsidRPr="00610BFB">
        <w:t xml:space="preserve"> de</w:t>
      </w:r>
      <w:r w:rsidR="00040663">
        <w:t xml:space="preserve"> clientes minoristas, a saber</w:t>
      </w:r>
      <w:r>
        <w:t>:</w:t>
      </w:r>
      <w:r w:rsidR="009D6E66" w:rsidRPr="009D6E66">
        <w:t xml:space="preserve"> </w:t>
      </w:r>
      <w:r>
        <w:t>i)</w:t>
      </w:r>
      <w:r w:rsidRPr="00565B44">
        <w:t xml:space="preserve"> préstamos</w:t>
      </w:r>
      <w:r w:rsidR="006538C7" w:rsidRPr="00565B44">
        <w:t xml:space="preserve"> a tasa fija sujetos a pago anticipado y </w:t>
      </w:r>
      <w:proofErr w:type="spellStart"/>
      <w:r>
        <w:t>ii</w:t>
      </w:r>
      <w:proofErr w:type="spellEnd"/>
      <w:r>
        <w:t xml:space="preserve">) </w:t>
      </w:r>
      <w:r w:rsidR="006538C7" w:rsidRPr="00565B44">
        <w:t xml:space="preserve">depósitos a plazo sujetos a riesgo de </w:t>
      </w:r>
      <w:r w:rsidR="00A05EAB">
        <w:t>retiro</w:t>
      </w:r>
      <w:r w:rsidR="006538C7" w:rsidRPr="00565B44">
        <w:t xml:space="preserve"> anticipad</w:t>
      </w:r>
      <w:r w:rsidR="00A05EAB">
        <w:t>o</w:t>
      </w:r>
      <w:r w:rsidR="009D6E66" w:rsidRPr="009D6E66">
        <w:t xml:space="preserve">. Cuando </w:t>
      </w:r>
      <w:r w:rsidR="004F1F0B" w:rsidRPr="009D6E66">
        <w:t>un cliente mayorista ten</w:t>
      </w:r>
      <w:r w:rsidR="004F1F0B">
        <w:t>ga</w:t>
      </w:r>
      <w:r w:rsidR="00040663">
        <w:t xml:space="preserve"> </w:t>
      </w:r>
      <w:r w:rsidR="009D6E66" w:rsidRPr="009D6E66">
        <w:t xml:space="preserve">una opción de comportamiento que puede cambiar el patrón de los flujos de efectivo de </w:t>
      </w:r>
      <w:proofErr w:type="spellStart"/>
      <w:r w:rsidR="00323099">
        <w:t>reprecio</w:t>
      </w:r>
      <w:proofErr w:type="spellEnd"/>
      <w:r w:rsidR="009D6E66" w:rsidRPr="009D6E66">
        <w:t xml:space="preserve">, dichas opciones </w:t>
      </w:r>
      <w:r w:rsidR="00040663">
        <w:t xml:space="preserve">se </w:t>
      </w:r>
      <w:r w:rsidR="009D6E66" w:rsidRPr="009D6E66">
        <w:t>deben incluir</w:t>
      </w:r>
      <w:r w:rsidR="00040663">
        <w:t xml:space="preserve"> </w:t>
      </w:r>
      <w:r w:rsidR="009D6E66" w:rsidRPr="009D6E66">
        <w:t xml:space="preserve">dentro de la categoría de </w:t>
      </w:r>
      <w:r w:rsidR="00040663">
        <w:t xml:space="preserve">las </w:t>
      </w:r>
      <w:r w:rsidR="009D6E66" w:rsidRPr="009D6E66">
        <w:t>opciones automáticas de tasa de interés</w:t>
      </w:r>
      <w:r w:rsidR="00040663">
        <w:t xml:space="preserve">, cuya instrucción se establece en el </w:t>
      </w:r>
      <w:proofErr w:type="spellStart"/>
      <w:r w:rsidR="00040663">
        <w:t>subnumeral</w:t>
      </w:r>
      <w:proofErr w:type="spellEnd"/>
      <w:r w:rsidR="00040663">
        <w:t xml:space="preserve"> </w:t>
      </w:r>
      <w:r w:rsidR="008360F4" w:rsidRPr="00053942">
        <w:t>2.</w:t>
      </w:r>
      <w:r w:rsidR="004C3B1A">
        <w:t>4</w:t>
      </w:r>
      <w:r w:rsidR="008360F4" w:rsidRPr="00053942">
        <w:t>.</w:t>
      </w:r>
      <w:r w:rsidR="004C3B1A">
        <w:t>2</w:t>
      </w:r>
      <w:r w:rsidR="009D6E66" w:rsidRPr="00053942">
        <w:t>.</w:t>
      </w:r>
    </w:p>
    <w:p w14:paraId="0CC0ED92" w14:textId="4E6F3E27" w:rsidR="00565B44" w:rsidRDefault="00565B44" w:rsidP="00A75EBC"/>
    <w:p w14:paraId="41708265" w14:textId="77777777" w:rsidR="00835609" w:rsidRDefault="002C2130" w:rsidP="00A75EBC">
      <w:r>
        <w:t>L</w:t>
      </w:r>
      <w:r w:rsidRPr="00BA36B6">
        <w:t xml:space="preserve">a opcionalidad en estos productos se </w:t>
      </w:r>
      <w:r w:rsidR="00962DE6">
        <w:t xml:space="preserve">debe </w:t>
      </w:r>
      <w:r w:rsidRPr="00BA36B6">
        <w:t>estima</w:t>
      </w:r>
      <w:r w:rsidR="00962DE6">
        <w:t>r</w:t>
      </w:r>
      <w:r w:rsidRPr="00BA36B6">
        <w:t xml:space="preserve"> utilizando </w:t>
      </w:r>
      <w:r>
        <w:t>el siguiente</w:t>
      </w:r>
      <w:r w:rsidRPr="00F36999">
        <w:t xml:space="preserve"> procedimiento de dos pasos</w:t>
      </w:r>
      <w:r w:rsidR="00835609">
        <w:t>, a saber</w:t>
      </w:r>
      <w:r w:rsidR="00762858">
        <w:t>:</w:t>
      </w:r>
    </w:p>
    <w:p w14:paraId="09128775" w14:textId="60075F65" w:rsidR="00835609" w:rsidRDefault="00835609" w:rsidP="00A75EBC"/>
    <w:p w14:paraId="695FC638" w14:textId="17D6CEBC" w:rsidR="007472C7" w:rsidRDefault="00A35FB8" w:rsidP="00325463">
      <w:pPr>
        <w:pStyle w:val="Prrafodelista"/>
        <w:numPr>
          <w:ilvl w:val="0"/>
          <w:numId w:val="33"/>
        </w:numPr>
        <w:ind w:left="284" w:hanging="284"/>
      </w:pPr>
      <w:r w:rsidRPr="001416A7">
        <w:t>En primer lugar</w:t>
      </w:r>
      <w:r w:rsidR="00835609">
        <w:t>,</w:t>
      </w:r>
      <w:r w:rsidRPr="001416A7">
        <w:t xml:space="preserve"> </w:t>
      </w:r>
      <w:r w:rsidR="00835609">
        <w:t xml:space="preserve">se </w:t>
      </w:r>
      <w:r w:rsidR="00835609" w:rsidRPr="00835609">
        <w:t xml:space="preserve">calculan </w:t>
      </w:r>
      <w:r w:rsidR="00835609">
        <w:t xml:space="preserve">las </w:t>
      </w:r>
      <w:r w:rsidR="00835609" w:rsidRPr="00835609">
        <w:t xml:space="preserve">estimaciones de referencia sobre </w:t>
      </w:r>
      <w:r w:rsidR="00835609">
        <w:t xml:space="preserve">las </w:t>
      </w:r>
      <w:r w:rsidR="00835609" w:rsidRPr="00835609">
        <w:t>amortizaciones anticipadas</w:t>
      </w:r>
      <w:r w:rsidR="00835609">
        <w:t xml:space="preserve"> </w:t>
      </w:r>
      <w:r w:rsidR="00835609" w:rsidRPr="00835609">
        <w:t xml:space="preserve">de </w:t>
      </w:r>
      <w:r w:rsidR="00835609">
        <w:t xml:space="preserve">los </w:t>
      </w:r>
      <w:r w:rsidR="00835609" w:rsidRPr="00835609">
        <w:t>préstamos y l</w:t>
      </w:r>
      <w:r w:rsidR="00835609">
        <w:t xml:space="preserve">os retiros </w:t>
      </w:r>
      <w:r w:rsidR="00835609" w:rsidRPr="00835609">
        <w:t>anticipad</w:t>
      </w:r>
      <w:r w:rsidR="00835609">
        <w:t>o</w:t>
      </w:r>
      <w:r w:rsidR="00835609" w:rsidRPr="00835609">
        <w:t xml:space="preserve">s de </w:t>
      </w:r>
      <w:r w:rsidR="00835609">
        <w:t xml:space="preserve">los </w:t>
      </w:r>
      <w:r w:rsidR="00835609" w:rsidRPr="00835609">
        <w:t>depósitos a plazo fijo</w:t>
      </w:r>
      <w:r w:rsidR="00835609">
        <w:t>,</w:t>
      </w:r>
      <w:r w:rsidR="00835609" w:rsidRPr="00835609">
        <w:t xml:space="preserve"> conforme a la estructura</w:t>
      </w:r>
      <w:r w:rsidR="00835609">
        <w:t xml:space="preserve"> vigente de las </w:t>
      </w:r>
      <w:r w:rsidR="00835609" w:rsidRPr="00835609">
        <w:t>tasas de interé</w:t>
      </w:r>
      <w:r w:rsidR="00835609">
        <w:t>s.</w:t>
      </w:r>
    </w:p>
    <w:p w14:paraId="7AAFB008" w14:textId="756E398A" w:rsidR="00835609" w:rsidRDefault="00835609" w:rsidP="00325463">
      <w:pPr>
        <w:pStyle w:val="Prrafodelista"/>
        <w:numPr>
          <w:ilvl w:val="0"/>
          <w:numId w:val="33"/>
        </w:numPr>
        <w:ind w:left="284" w:hanging="284"/>
      </w:pPr>
      <w:r w:rsidRPr="00835609">
        <w:t>En la segunda etapa</w:t>
      </w:r>
      <w:r>
        <w:t xml:space="preserve"> estas </w:t>
      </w:r>
      <w:r w:rsidRPr="00835609">
        <w:t>estimaciones se multiplican por escalares basados en</w:t>
      </w:r>
      <w:r>
        <w:t xml:space="preserve"> </w:t>
      </w:r>
      <w:r w:rsidRPr="00835609">
        <w:t>escenarios que reflej</w:t>
      </w:r>
      <w:r>
        <w:t>e</w:t>
      </w:r>
      <w:r w:rsidRPr="00835609">
        <w:t>n los probables cambios de conducta</w:t>
      </w:r>
      <w:r>
        <w:t xml:space="preserve"> del </w:t>
      </w:r>
      <w:r w:rsidRPr="00835609">
        <w:t>ejercicio de las opcione</w:t>
      </w:r>
      <w:r>
        <w:t>s</w:t>
      </w:r>
      <w:r w:rsidR="006B3118">
        <w:t xml:space="preserve"> definidos en el </w:t>
      </w:r>
      <w:proofErr w:type="spellStart"/>
      <w:r w:rsidR="006B3118">
        <w:t>subnumeral</w:t>
      </w:r>
      <w:proofErr w:type="spellEnd"/>
      <w:r w:rsidR="006B3118">
        <w:t xml:space="preserve"> 2.4.1.2.2</w:t>
      </w:r>
      <w:r w:rsidR="00A35FB8" w:rsidRPr="00E45487">
        <w:t>.</w:t>
      </w:r>
    </w:p>
    <w:p w14:paraId="50365190" w14:textId="4EE3E56B" w:rsidR="00835609" w:rsidRDefault="00835609" w:rsidP="00A75EBC"/>
    <w:p w14:paraId="66018333" w14:textId="0C0CCE24" w:rsidR="00131E88" w:rsidRPr="006513DC" w:rsidRDefault="002E65C4" w:rsidP="00A75EBC">
      <w:pPr>
        <w:rPr>
          <w:b/>
          <w:bCs/>
        </w:rPr>
      </w:pPr>
      <w:r w:rsidRPr="006513DC">
        <w:rPr>
          <w:b/>
          <w:bCs/>
        </w:rPr>
        <w:t>2.</w:t>
      </w:r>
      <w:r w:rsidR="00BA508D" w:rsidRPr="006513DC">
        <w:rPr>
          <w:b/>
          <w:bCs/>
        </w:rPr>
        <w:t>4.1.</w:t>
      </w:r>
      <w:r w:rsidRPr="006513DC">
        <w:rPr>
          <w:b/>
          <w:bCs/>
        </w:rPr>
        <w:t xml:space="preserve">2.1 </w:t>
      </w:r>
      <w:r w:rsidR="009031CD">
        <w:rPr>
          <w:b/>
          <w:bCs/>
        </w:rPr>
        <w:t>Pré</w:t>
      </w:r>
      <w:r w:rsidR="00A1672F" w:rsidRPr="006513DC">
        <w:rPr>
          <w:b/>
          <w:bCs/>
        </w:rPr>
        <w:t>stamos con opción de prepago</w:t>
      </w:r>
    </w:p>
    <w:p w14:paraId="2B438770" w14:textId="77777777" w:rsidR="006513DC" w:rsidRDefault="006513DC" w:rsidP="00A75EBC"/>
    <w:p w14:paraId="6E4E7402" w14:textId="13803A21" w:rsidR="0030413D" w:rsidRDefault="00FA3773" w:rsidP="00A75EBC">
      <w:r>
        <w:t>La entidad</w:t>
      </w:r>
      <w:r w:rsidR="003A1C1A" w:rsidRPr="003A1C1A">
        <w:t xml:space="preserve"> debe determinar la tasa de prepago condicional de referencia para cada cartera </w:t>
      </w:r>
      <m:oMath>
        <m:r>
          <w:rPr>
            <w:rFonts w:ascii="Cambria Math" w:hAnsi="Cambria Math"/>
          </w:rPr>
          <m:t>p</m:t>
        </m:r>
      </m:oMath>
      <w:r w:rsidR="003A1C1A" w:rsidRPr="003A1C1A">
        <w:t xml:space="preserve"> de </w:t>
      </w:r>
      <w:r w:rsidR="00C37D6D">
        <w:t xml:space="preserve">los </w:t>
      </w:r>
      <w:r w:rsidR="003A1C1A" w:rsidRPr="003A1C1A">
        <w:t>productos crediticios homogéneos expuestos a</w:t>
      </w:r>
      <w:r w:rsidR="00204304">
        <w:t xml:space="preserve"> </w:t>
      </w:r>
      <w:r w:rsidR="003A1C1A" w:rsidRPr="003A1C1A">
        <w:t xml:space="preserve">prepago y denominados en la moneda </w:t>
      </w:r>
      <m:oMath>
        <m:r>
          <w:rPr>
            <w:rFonts w:ascii="Cambria Math" w:hAnsi="Cambria Math"/>
          </w:rPr>
          <m:t>c</m:t>
        </m:r>
      </m:oMath>
      <w:r w:rsidR="003A1C1A" w:rsidRPr="003A1C1A">
        <w:t xml:space="preserve">, según la estructura </w:t>
      </w:r>
      <w:r w:rsidR="00C67593" w:rsidRPr="003A1C1A">
        <w:t xml:space="preserve">vigente </w:t>
      </w:r>
      <w:r w:rsidR="003A1C1A" w:rsidRPr="003A1C1A">
        <w:t>de plazos de las tasas de interés.</w:t>
      </w:r>
    </w:p>
    <w:p w14:paraId="3861B313" w14:textId="77777777" w:rsidR="005127C6" w:rsidRDefault="005127C6" w:rsidP="00A75EBC"/>
    <w:p w14:paraId="319A2401" w14:textId="094A7798" w:rsidR="00E26B17" w:rsidRPr="00F36999" w:rsidRDefault="0030413D" w:rsidP="00A75EBC">
      <w:r w:rsidRPr="0030413D">
        <w:t>La tasa de prepago condicional</w:t>
      </w:r>
      <w:r w:rsidR="003752F5">
        <w:rPr>
          <w:rFonts w:eastAsiaTheme="minorEastAsia"/>
        </w:rPr>
        <w:t xml:space="preserve"> </w:t>
      </w:r>
      <m:oMath>
        <m:sSubSup>
          <m:sSubSupPr>
            <m:ctrlPr>
              <w:rPr>
                <w:rFonts w:ascii="Cambria Math" w:hAnsi="Cambria Math"/>
                <w:i/>
              </w:rPr>
            </m:ctrlPr>
          </m:sSubSupPr>
          <m:e>
            <m:r>
              <w:rPr>
                <w:rFonts w:ascii="Cambria Math" w:hAnsi="Cambria Math"/>
              </w:rPr>
              <m:t>CPR</m:t>
            </m:r>
          </m:e>
          <m:sub>
            <m:r>
              <w:rPr>
                <w:rFonts w:ascii="Cambria Math" w:hAnsi="Cambria Math"/>
              </w:rPr>
              <m:t xml:space="preserve">i,c </m:t>
            </m:r>
          </m:sub>
          <m:sup>
            <m:r>
              <w:rPr>
                <w:rFonts w:ascii="Cambria Math" w:hAnsi="Cambria Math"/>
              </w:rPr>
              <m:t>p</m:t>
            </m:r>
          </m:sup>
        </m:sSubSup>
      </m:oMath>
      <w:r w:rsidRPr="0030413D">
        <w:t xml:space="preserve"> para cada cartera de productos crediticios </w:t>
      </w:r>
      <w:r w:rsidR="004310BF">
        <w:t xml:space="preserve">homogéneos </w:t>
      </w:r>
      <w:r w:rsidR="00664571" w:rsidRPr="0030413D">
        <w:t>expuestos al pago anticipado</w:t>
      </w:r>
      <w:r w:rsidR="004310BF">
        <w:t xml:space="preserve"> </w:t>
      </w:r>
      <w:r w:rsidRPr="0030413D">
        <w:t xml:space="preserve">denominados en la moneda </w:t>
      </w:r>
      <m:oMath>
        <m:r>
          <w:rPr>
            <w:rFonts w:ascii="Cambria Math" w:hAnsi="Cambria Math"/>
          </w:rPr>
          <m:t>c</m:t>
        </m:r>
      </m:oMath>
      <w:r w:rsidRPr="0030413D">
        <w:t>, en el escenario de tasa de interés</w:t>
      </w:r>
      <m:oMath>
        <m:r>
          <w:rPr>
            <w:rFonts w:ascii="Cambria Math" w:hAnsi="Cambria Math"/>
          </w:rPr>
          <m:t xml:space="preserve"> i</m:t>
        </m:r>
      </m:oMath>
      <w:r w:rsidRPr="0030413D">
        <w:t xml:space="preserve">, se </w:t>
      </w:r>
      <w:r w:rsidR="004310BF">
        <w:t>determina</w:t>
      </w:r>
      <w:r w:rsidRPr="0030413D">
        <w:t xml:space="preserve"> utilizando la siguiente fórmula</w:t>
      </w:r>
      <w:r w:rsidR="005F1D4B">
        <w:t>:</w:t>
      </w:r>
    </w:p>
    <w:p w14:paraId="016400F3" w14:textId="36130B8B" w:rsidR="00E26B17" w:rsidRPr="00F36999" w:rsidRDefault="00E41B2D" w:rsidP="00A75EBC">
      <w:pPr>
        <w:rPr>
          <w:rFonts w:eastAsiaTheme="minorEastAsia"/>
        </w:rPr>
      </w:pPr>
      <m:oMathPara>
        <m:oMath>
          <m:sSubSup>
            <m:sSubSupPr>
              <m:ctrlPr>
                <w:rPr>
                  <w:rFonts w:ascii="Cambria Math" w:hAnsi="Cambria Math"/>
                </w:rPr>
              </m:ctrlPr>
            </m:sSubSupPr>
            <m:e>
              <m:r>
                <w:rPr>
                  <w:rFonts w:ascii="Cambria Math" w:hAnsi="Cambria Math"/>
                </w:rPr>
                <m:t>CPR</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m:t>
          </m:r>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 xml:space="preserve">(1, </m:t>
              </m:r>
              <m:sSub>
                <m:sSubPr>
                  <m:ctrlPr>
                    <w:rPr>
                      <w:rFonts w:ascii="Cambria Math" w:hAnsi="Cambria Math"/>
                    </w:rPr>
                  </m:ctrlPr>
                </m:sSubPr>
                <m:e>
                  <m:r>
                    <w:rPr>
                      <w:rFonts w:ascii="Cambria Math" w:hAnsi="Cambria Math"/>
                    </w:rPr>
                    <m:t>γ</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CPR</m:t>
                  </m:r>
                </m:e>
                <m:sub>
                  <m:r>
                    <m:rPr>
                      <m:sty m:val="p"/>
                    </m:rPr>
                    <w:rPr>
                      <w:rFonts w:ascii="Cambria Math" w:hAnsi="Cambria Math"/>
                    </w:rPr>
                    <m:t>0,</m:t>
                  </m:r>
                  <m:r>
                    <w:rPr>
                      <w:rFonts w:ascii="Cambria Math" w:hAnsi="Cambria Math"/>
                    </w:rPr>
                    <m:t>c</m:t>
                  </m:r>
                  <m:r>
                    <m:rPr>
                      <m:sty m:val="p"/>
                    </m:rPr>
                    <w:rPr>
                      <w:rFonts w:ascii="Cambria Math" w:hAnsi="Cambria Math"/>
                    </w:rPr>
                    <m:t xml:space="preserve"> </m:t>
                  </m:r>
                </m:sub>
                <m:sup>
                  <m:r>
                    <w:rPr>
                      <w:rFonts w:ascii="Cambria Math" w:hAnsi="Cambria Math"/>
                    </w:rPr>
                    <m:t>p</m:t>
                  </m:r>
                </m:sup>
              </m:sSubSup>
              <m:r>
                <m:rPr>
                  <m:sty m:val="p"/>
                </m:rPr>
                <w:rPr>
                  <w:rFonts w:ascii="Cambria Math" w:hAnsi="Cambria Math"/>
                </w:rPr>
                <m:t xml:space="preserve"> )</m:t>
              </m:r>
            </m:e>
          </m:func>
        </m:oMath>
      </m:oMathPara>
    </w:p>
    <w:p w14:paraId="518C9AA5" w14:textId="77777777" w:rsidR="005F1D4B" w:rsidRDefault="005F1D4B" w:rsidP="00A75EBC"/>
    <w:p w14:paraId="748521CC" w14:textId="2CBDA8DC" w:rsidR="00E26B17" w:rsidRDefault="005F1D4B" w:rsidP="00A75EBC">
      <w:r>
        <w:t>D</w:t>
      </w:r>
      <w:r w:rsidRPr="0030413D">
        <w:t xml:space="preserve">onde </w:t>
      </w:r>
      <m:oMath>
        <m:sSubSup>
          <m:sSubSupPr>
            <m:ctrlPr>
              <w:rPr>
                <w:rFonts w:ascii="Cambria Math" w:hAnsi="Cambria Math"/>
                <w:i/>
              </w:rPr>
            </m:ctrlPr>
          </m:sSubSupPr>
          <m:e>
            <m:r>
              <w:rPr>
                <w:rFonts w:ascii="Cambria Math" w:hAnsi="Cambria Math"/>
              </w:rPr>
              <m:t>CPR</m:t>
            </m:r>
          </m:e>
          <m:sub>
            <m:r>
              <w:rPr>
                <w:rFonts w:ascii="Cambria Math" w:hAnsi="Cambria Math"/>
              </w:rPr>
              <m:t xml:space="preserve">0,c </m:t>
            </m:r>
          </m:sub>
          <m:sup>
            <m:r>
              <w:rPr>
                <w:rFonts w:ascii="Cambria Math" w:hAnsi="Cambria Math"/>
              </w:rPr>
              <m:t>p</m:t>
            </m:r>
          </m:sup>
        </m:sSubSup>
        <m:r>
          <w:rPr>
            <w:rFonts w:ascii="Cambria Math" w:hAnsi="Cambria Math"/>
          </w:rPr>
          <m:t xml:space="preserve"> </m:t>
        </m:r>
      </m:oMath>
      <w:r w:rsidRPr="0030413D">
        <w:t>base</w:t>
      </w:r>
      <w:r w:rsidR="00730F0C">
        <w:t xml:space="preserve"> </w:t>
      </w:r>
      <w:r w:rsidRPr="0030413D">
        <w:t xml:space="preserve">de una cartera </w:t>
      </w:r>
      <m:oMath>
        <m:r>
          <w:rPr>
            <w:rFonts w:ascii="Cambria Math" w:hAnsi="Cambria Math"/>
          </w:rPr>
          <m:t>p</m:t>
        </m:r>
      </m:oMath>
      <w:r w:rsidRPr="0030413D">
        <w:t xml:space="preserve"> de prepago homogéneo</w:t>
      </w:r>
      <w:r>
        <w:t xml:space="preserve">, </w:t>
      </w:r>
      <w:r w:rsidRPr="0030413D">
        <w:t xml:space="preserve">en </w:t>
      </w:r>
      <w:r w:rsidR="004310BF">
        <w:t xml:space="preserve">la </w:t>
      </w:r>
      <w:r w:rsidRPr="0030413D">
        <w:t xml:space="preserve">moneda </w:t>
      </w:r>
      <m:oMath>
        <m:r>
          <w:rPr>
            <w:rFonts w:ascii="Cambria Math" w:hAnsi="Cambria Math"/>
          </w:rPr>
          <m:t>c</m:t>
        </m:r>
      </m:oMath>
      <w:r w:rsidRPr="0030413D">
        <w:t xml:space="preserve"> y dada la estructura de plazos vigente de tasas de interés</w:t>
      </w:r>
      <w:r w:rsidR="002A0E11">
        <w:t>.</w:t>
      </w:r>
    </w:p>
    <w:p w14:paraId="67D76114" w14:textId="77777777" w:rsidR="00B37767" w:rsidRPr="00F36999" w:rsidRDefault="00B37767" w:rsidP="00A75EBC"/>
    <w:p w14:paraId="326E7FCE" w14:textId="6D250629" w:rsidR="00E26B17" w:rsidRDefault="00E41B2D" w:rsidP="00A75EBC">
      <m:oMath>
        <m:sSub>
          <m:sSubPr>
            <m:ctrlPr>
              <w:rPr>
                <w:rFonts w:ascii="Cambria Math" w:hAnsi="Cambria Math"/>
                <w:i/>
              </w:rPr>
            </m:ctrlPr>
          </m:sSubPr>
          <m:e>
            <m:r>
              <w:rPr>
                <w:rFonts w:ascii="Cambria Math" w:hAnsi="Cambria Math"/>
              </w:rPr>
              <m:t>γ</m:t>
            </m:r>
          </m:e>
          <m:sub>
            <m:r>
              <w:rPr>
                <w:rFonts w:ascii="Cambria Math" w:hAnsi="Cambria Math"/>
              </w:rPr>
              <m:t>i</m:t>
            </m:r>
          </m:sub>
        </m:sSub>
      </m:oMath>
      <w:r w:rsidR="00E26B17" w:rsidRPr="00F36999">
        <w:t xml:space="preserve"> es el ponderador del escenario i</w:t>
      </w:r>
      <w:r w:rsidR="00BE0E33" w:rsidRPr="00F36999">
        <w:t>, que toma</w:t>
      </w:r>
      <w:r w:rsidR="00E26B17" w:rsidRPr="00F36999">
        <w:t xml:space="preserve"> dos valores:</w:t>
      </w:r>
    </w:p>
    <w:p w14:paraId="406A32A7" w14:textId="77777777" w:rsidR="00BC3507" w:rsidRPr="00F36999" w:rsidRDefault="00BC3507" w:rsidP="00A75EBC"/>
    <w:p w14:paraId="5429C80B" w14:textId="64EDFB15" w:rsidR="00E26B17" w:rsidRPr="00F36999" w:rsidRDefault="00E41B2D" w:rsidP="00F810C9">
      <w:pPr>
        <w:pStyle w:val="Prrafodelista"/>
        <w:numPr>
          <w:ilvl w:val="0"/>
          <w:numId w:val="5"/>
        </w:numPr>
        <w:ind w:left="567" w:hanging="283"/>
      </w:pPr>
      <m:oMath>
        <m:sSub>
          <m:sSubPr>
            <m:ctrlPr>
              <w:rPr>
                <w:rFonts w:ascii="Cambria Math" w:hAnsi="Cambria Math"/>
              </w:rPr>
            </m:ctrlPr>
          </m:sSubPr>
          <m:e>
            <m:r>
              <w:rPr>
                <w:rFonts w:ascii="Cambria Math" w:hAnsi="Cambria Math"/>
              </w:rPr>
              <m:t>γ</m:t>
            </m:r>
          </m:e>
          <m:sub>
            <m:r>
              <w:rPr>
                <w:rFonts w:ascii="Cambria Math" w:hAnsi="Cambria Math"/>
              </w:rPr>
              <m:t>i</m:t>
            </m:r>
          </m:sub>
        </m:sSub>
      </m:oMath>
      <w:r w:rsidR="00E26B17" w:rsidRPr="00F36999">
        <w:t xml:space="preserve"> = 0.8 para los escenarios 1,</w:t>
      </w:r>
      <w:r w:rsidR="00B92786" w:rsidRPr="00F36999">
        <w:t xml:space="preserve"> </w:t>
      </w:r>
      <w:r w:rsidR="00E26B17" w:rsidRPr="00F36999">
        <w:t xml:space="preserve">3 y 5 (paralelo al alza, inclinación y subida de tasas en el </w:t>
      </w:r>
      <w:r w:rsidR="00766E70" w:rsidRPr="00F36999">
        <w:t xml:space="preserve">corto </w:t>
      </w:r>
      <w:r w:rsidR="00E26B17" w:rsidRPr="00F36999">
        <w:t>plazo)</w:t>
      </w:r>
    </w:p>
    <w:p w14:paraId="0AF6E554" w14:textId="1AC54BC8" w:rsidR="00025012" w:rsidRPr="00842482" w:rsidRDefault="00E41B2D" w:rsidP="00F810C9">
      <w:pPr>
        <w:pStyle w:val="Prrafodelista"/>
        <w:numPr>
          <w:ilvl w:val="0"/>
          <w:numId w:val="5"/>
        </w:numPr>
        <w:ind w:left="567" w:hanging="283"/>
      </w:pPr>
      <m:oMath>
        <m:sSub>
          <m:sSubPr>
            <m:ctrlPr>
              <w:rPr>
                <w:rFonts w:ascii="Cambria Math" w:hAnsi="Cambria Math"/>
              </w:rPr>
            </m:ctrlPr>
          </m:sSubPr>
          <m:e>
            <m:r>
              <w:rPr>
                <w:rFonts w:ascii="Cambria Math" w:hAnsi="Cambria Math"/>
              </w:rPr>
              <m:t>γ</m:t>
            </m:r>
          </m:e>
          <m:sub>
            <m:r>
              <w:rPr>
                <w:rFonts w:ascii="Cambria Math" w:hAnsi="Cambria Math"/>
              </w:rPr>
              <m:t>i</m:t>
            </m:r>
          </m:sub>
        </m:sSub>
      </m:oMath>
      <w:r w:rsidR="00E26B17" w:rsidRPr="00F36999">
        <w:t xml:space="preserve"> = 1.2 para los escenarios 2,</w:t>
      </w:r>
      <w:r w:rsidR="00B92786" w:rsidRPr="00F36999">
        <w:t xml:space="preserve"> </w:t>
      </w:r>
      <w:r w:rsidR="00E26B17" w:rsidRPr="00F36999">
        <w:t xml:space="preserve">4 y 6 (paralelo a la baja, aplanamiento y </w:t>
      </w:r>
      <w:r w:rsidR="00C62108">
        <w:t xml:space="preserve">una </w:t>
      </w:r>
      <w:r w:rsidR="00E26B17" w:rsidRPr="00F36999">
        <w:t>baja</w:t>
      </w:r>
      <w:r w:rsidR="0007126A">
        <w:t xml:space="preserve"> </w:t>
      </w:r>
      <w:r w:rsidR="00E26B17" w:rsidRPr="00F36999">
        <w:t xml:space="preserve">de tasas en el </w:t>
      </w:r>
      <w:r w:rsidR="00DE7147" w:rsidRPr="00F36999">
        <w:t xml:space="preserve">corto </w:t>
      </w:r>
      <w:r w:rsidR="00E26B17" w:rsidRPr="00F36999">
        <w:t>plazo)</w:t>
      </w:r>
    </w:p>
    <w:p w14:paraId="2172EA95" w14:textId="77777777" w:rsidR="00025012" w:rsidRPr="00842482" w:rsidRDefault="00025012" w:rsidP="00A75EBC">
      <w:pPr>
        <w:pStyle w:val="Prrafodelista"/>
      </w:pPr>
    </w:p>
    <w:p w14:paraId="7A1A98DA" w14:textId="3B374364" w:rsidR="00E26B17" w:rsidRPr="00F36999" w:rsidRDefault="00025012" w:rsidP="00A75EBC">
      <w:pPr>
        <w:rPr>
          <w:rFonts w:eastAsiaTheme="minorEastAsia"/>
        </w:rPr>
      </w:pPr>
      <w:r w:rsidRPr="00842482">
        <w:t>Los pagos anticipados de los préstamos a</w:t>
      </w:r>
      <w:r w:rsidR="00DC6B07">
        <w:t xml:space="preserve"> tasa</w:t>
      </w:r>
      <w:r w:rsidRPr="00842482">
        <w:t xml:space="preserve"> fij</w:t>
      </w:r>
      <w:r w:rsidR="00DC6B07">
        <w:t>a</w:t>
      </w:r>
      <w:r w:rsidRPr="00842482">
        <w:t xml:space="preserve"> deben reflejarse en los flujos de efectivo correspondientes (pagos programados de los préstamos, pagos anticipados y pagos de intereses). </w:t>
      </w:r>
      <w:r w:rsidR="00E26B17" w:rsidRPr="00F36999">
        <w:t xml:space="preserve">El flujo de caja para la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oMath>
      <w:r w:rsidR="00E26B17" w:rsidRPr="00F36999">
        <w:rPr>
          <w:rFonts w:eastAsiaTheme="minorEastAsia"/>
        </w:rPr>
        <w:t xml:space="preserve"> es la suma de los siguientes dos componentes:</w:t>
      </w:r>
    </w:p>
    <w:p w14:paraId="6966D742" w14:textId="77777777" w:rsidR="00E26B17" w:rsidRPr="00F36999" w:rsidRDefault="00E26B17" w:rsidP="00A75EBC"/>
    <w:p w14:paraId="295CE6C1" w14:textId="32DEE529" w:rsidR="00E26B17" w:rsidRPr="00F36999" w:rsidRDefault="00E41B2D" w:rsidP="00A75EBC">
      <w:pPr>
        <w:rPr>
          <w:rFonts w:eastAsiaTheme="minorEastAsia"/>
        </w:rPr>
      </w:pPr>
      <m:oMathPara>
        <m:oMath>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m:rPr>
                  <m:sty m:val="p"/>
                </m:rPr>
                <w:rPr>
                  <w:rFonts w:ascii="Cambria Math" w:hAnsi="Cambria Math"/>
                </w:rPr>
                <m:t>1</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m:rPr>
                  <m:sty m:val="p"/>
                </m:rPr>
                <w:rPr>
                  <w:rFonts w:ascii="Cambria Math" w:hAnsi="Cambria Math"/>
                </w:rPr>
                <m:t>2</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6C0D438A" w14:textId="77777777" w:rsidR="00E26B17" w:rsidRPr="00F36999" w:rsidRDefault="00E26B17" w:rsidP="00A75EBC">
      <w:r w:rsidRPr="00F36999">
        <w:t>Donde</w:t>
      </w:r>
    </w:p>
    <w:p w14:paraId="53E505A2" w14:textId="77777777" w:rsidR="00E26B17" w:rsidRPr="00F36999" w:rsidRDefault="00E26B17" w:rsidP="00A75EBC"/>
    <w:p w14:paraId="1416057A" w14:textId="05645540" w:rsidR="00E26B17" w:rsidRPr="00F36999" w:rsidRDefault="00E41B2D" w:rsidP="00A75EBC">
      <m:oMath>
        <m:sSubSup>
          <m:sSubSupPr>
            <m:ctrlPr>
              <w:rPr>
                <w:rFonts w:ascii="Cambria Math" w:hAnsi="Cambria Math"/>
                <w:i/>
              </w:rPr>
            </m:ctrlPr>
          </m:sSubSupPr>
          <m:e>
            <m:r>
              <w:rPr>
                <w:rFonts w:ascii="Cambria Math" w:hAnsi="Cambria Math"/>
              </w:rPr>
              <m:t>FC</m:t>
            </m:r>
          </m:e>
          <m:sub>
            <m:r>
              <w:rPr>
                <w:rFonts w:ascii="Cambria Math" w:hAnsi="Cambria Math"/>
              </w:rPr>
              <m:t>i,c</m:t>
            </m:r>
          </m:sub>
          <m:sup>
            <m:r>
              <w:rPr>
                <w:rFonts w:ascii="Cambria Math" w:hAnsi="Cambria Math"/>
              </w:rPr>
              <m:t>1</m:t>
            </m:r>
          </m:sup>
        </m:sSub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00E26B17" w:rsidRPr="00F36999">
        <w:t xml:space="preserve"> se refiere a los pagos </w:t>
      </w:r>
      <w:r w:rsidR="00C62108">
        <w:t xml:space="preserve">programados </w:t>
      </w:r>
      <w:r w:rsidR="00E26B17" w:rsidRPr="00F36999">
        <w:t xml:space="preserve">de intereses y principal </w:t>
      </w:r>
      <w:r w:rsidR="00C62108">
        <w:t xml:space="preserve">(capital) </w:t>
      </w:r>
      <w:r w:rsidR="00E26B17" w:rsidRPr="00F36999">
        <w:t xml:space="preserve">(sin prepago) </w:t>
      </w:r>
    </w:p>
    <w:p w14:paraId="2BDCC2D5" w14:textId="4BDFFFA9" w:rsidR="00E26B17" w:rsidRPr="00F36999" w:rsidRDefault="00E41B2D" w:rsidP="00A75EBC">
      <m:oMath>
        <m:sSubSup>
          <m:sSubSupPr>
            <m:ctrlPr>
              <w:rPr>
                <w:rFonts w:ascii="Cambria Math" w:hAnsi="Cambria Math"/>
                <w:i/>
              </w:rPr>
            </m:ctrlPr>
          </m:sSubSupPr>
          <m:e>
            <m:r>
              <w:rPr>
                <w:rFonts w:ascii="Cambria Math" w:hAnsi="Cambria Math"/>
              </w:rPr>
              <m:t>FC</m:t>
            </m:r>
          </m:e>
          <m:sub>
            <m:r>
              <w:rPr>
                <w:rFonts w:ascii="Cambria Math" w:hAnsi="Cambria Math"/>
              </w:rPr>
              <m:t>i,c</m:t>
            </m:r>
          </m:sub>
          <m:sup>
            <m:r>
              <w:rPr>
                <w:rFonts w:ascii="Cambria Math" w:hAnsi="Cambria Math"/>
              </w:rPr>
              <m:t>2</m:t>
            </m:r>
          </m:sup>
        </m:sSub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00E26B17" w:rsidRPr="00F36999">
        <w:t xml:space="preserve"> se refiere a</w:t>
      </w:r>
      <w:r w:rsidR="00C62108">
        <w:t xml:space="preserve">l </w:t>
      </w:r>
      <w:r w:rsidR="00E26B17" w:rsidRPr="00F36999">
        <w:t>flujo de caja del prepago</w:t>
      </w:r>
      <w:r w:rsidR="00C62108">
        <w:t>.</w:t>
      </w:r>
    </w:p>
    <w:p w14:paraId="7CDCFAE6" w14:textId="77777777" w:rsidR="00F95F97" w:rsidRPr="00F36999" w:rsidRDefault="00F95F97" w:rsidP="00A75EBC"/>
    <w:p w14:paraId="452A8530" w14:textId="6B5FDDA5" w:rsidR="0086732C" w:rsidRDefault="00F95F97" w:rsidP="00A75EBC">
      <w:r w:rsidRPr="00257EDD">
        <w:t>E</w:t>
      </w:r>
      <w:r w:rsidR="0086732C">
        <w:t>l flujo de caja de</w:t>
      </w:r>
      <w:r w:rsidR="00C62108">
        <w:t>l</w:t>
      </w:r>
      <w:r w:rsidR="0086732C">
        <w:t xml:space="preserve"> prepago se calcula con la siguiente fórmula:</w:t>
      </w:r>
    </w:p>
    <w:p w14:paraId="197A3097" w14:textId="77777777" w:rsidR="0086732C" w:rsidRDefault="0086732C" w:rsidP="00A75EBC"/>
    <w:p w14:paraId="5667C887" w14:textId="77777777" w:rsidR="0086732C" w:rsidRPr="00F36999" w:rsidRDefault="00E41B2D" w:rsidP="0086732C">
      <w:pPr>
        <w:rPr>
          <w:rFonts w:eastAsiaTheme="minorEastAsia"/>
        </w:rPr>
      </w:pPr>
      <m:oMathPara>
        <m:oMath>
          <m:sSubSup>
            <m:sSubSupPr>
              <m:ctrlPr>
                <w:rPr>
                  <w:rFonts w:ascii="Cambria Math" w:hAnsi="Cambria Math"/>
                </w:rPr>
              </m:ctrlPr>
            </m:sSubSupPr>
            <m:e>
              <m:r>
                <w:rPr>
                  <w:rFonts w:ascii="Cambria Math" w:hAnsi="Cambria Math"/>
                </w:rPr>
                <m:t>FC</m:t>
              </m:r>
            </m:e>
            <m:sub>
              <m:r>
                <w:rPr>
                  <w:rFonts w:ascii="Cambria Math" w:hAnsi="Cambria Math"/>
                </w:rPr>
                <m:t>i</m:t>
              </m:r>
              <m:r>
                <m:rPr>
                  <m:sty m:val="p"/>
                </m:rPr>
                <w:rPr>
                  <w:rFonts w:ascii="Cambria Math" w:hAnsi="Cambria Math"/>
                </w:rPr>
                <m:t>,</m:t>
              </m:r>
              <m:r>
                <w:rPr>
                  <w:rFonts w:ascii="Cambria Math" w:hAnsi="Cambria Math"/>
                </w:rPr>
                <m:t>c</m:t>
              </m:r>
            </m:sub>
            <m:sup>
              <m:r>
                <m:rPr>
                  <m:sty m:val="p"/>
                </m:rPr>
                <w:rPr>
                  <w:rFonts w:ascii="Cambria Math" w:hAnsi="Cambria Math"/>
                </w:rPr>
                <m:t>2</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CPR</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N</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r>
                <m:rPr>
                  <m:sty m:val="p"/>
                </m:rPr>
                <w:rPr>
                  <w:rFonts w:ascii="Cambria Math" w:hAnsi="Cambria Math"/>
                </w:rPr>
                <m:t>-1</m:t>
              </m:r>
            </m:sub>
          </m:sSub>
          <m:r>
            <m:rPr>
              <m:sty m:val="p"/>
            </m:rPr>
            <w:rPr>
              <w:rFonts w:ascii="Cambria Math" w:hAnsi="Cambria Math"/>
            </w:rPr>
            <m:t>)</m:t>
          </m:r>
        </m:oMath>
      </m:oMathPara>
    </w:p>
    <w:p w14:paraId="75F6E590" w14:textId="77777777" w:rsidR="0086732C" w:rsidRDefault="0086732C" w:rsidP="00A75EBC"/>
    <w:p w14:paraId="4E226A00" w14:textId="703247E8" w:rsidR="0086732C" w:rsidRDefault="0086732C" w:rsidP="00A75EBC">
      <w:r>
        <w:t>Donde</w:t>
      </w:r>
    </w:p>
    <w:p w14:paraId="53FD89FA" w14:textId="77777777" w:rsidR="0086732C" w:rsidRDefault="0086732C" w:rsidP="00A75EBC"/>
    <w:p w14:paraId="73EDB12A" w14:textId="40EDBA74" w:rsidR="00E26B17" w:rsidRPr="00F36999" w:rsidRDefault="00F95F97" w:rsidP="00A75EBC">
      <w:r w:rsidRPr="00257EDD">
        <w:t xml:space="preserve">Los flujos de efectivo base (es decir, dada la curva de rendimiento de la tasa de interés actual y la </w:t>
      </w:r>
      <m:oMath>
        <m:r>
          <w:rPr>
            <w:rFonts w:ascii="Cambria Math" w:hAnsi="Cambria Math"/>
          </w:rPr>
          <m:t>CPR</m:t>
        </m:r>
      </m:oMath>
      <w:r w:rsidRPr="00257EDD">
        <w:t xml:space="preserve"> base) están dados por </w:t>
      </w:r>
      <m:oMath>
        <m:r>
          <w:rPr>
            <w:rFonts w:ascii="Cambria Math" w:hAnsi="Cambria Math"/>
          </w:rPr>
          <m:t>i=0</m:t>
        </m:r>
      </m:oMath>
      <w:r w:rsidRPr="00257EDD">
        <w:t xml:space="preserve">, mientras que los escenarios de choque de la tasa de interés se dan para </w:t>
      </w:r>
      <m:oMath>
        <m:r>
          <w:rPr>
            <w:rFonts w:ascii="Cambria Math" w:hAnsi="Cambria Math"/>
          </w:rPr>
          <m:t>i=1 a 6</m:t>
        </m:r>
      </m:oMath>
      <w:r w:rsidRPr="00257EDD">
        <w:t>.</w:t>
      </w:r>
    </w:p>
    <w:p w14:paraId="5EFCF3B3" w14:textId="358EE265" w:rsidR="00E26B17" w:rsidRDefault="00E41B2D" w:rsidP="00A75EBC">
      <m:oMath>
        <m:sSubSup>
          <m:sSubSupPr>
            <m:ctrlPr>
              <w:rPr>
                <w:rFonts w:ascii="Cambria Math" w:hAnsi="Cambria Math"/>
                <w:i/>
              </w:rPr>
            </m:ctrlPr>
          </m:sSubSupPr>
          <m:e>
            <m:r>
              <w:rPr>
                <w:rFonts w:ascii="Cambria Math" w:hAnsi="Cambria Math"/>
              </w:rPr>
              <m:t>N</m:t>
            </m:r>
          </m:e>
          <m:sub>
            <m:r>
              <w:rPr>
                <w:rFonts w:ascii="Cambria Math" w:hAnsi="Cambria Math"/>
              </w:rPr>
              <m:t>i,c</m:t>
            </m:r>
          </m:sub>
          <m:sup>
            <m:r>
              <w:rPr>
                <w:rFonts w:ascii="Cambria Math" w:hAnsi="Cambria Math"/>
              </w:rPr>
              <m:t>p</m:t>
            </m:r>
          </m:sup>
        </m:sSubSup>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k-1</m:t>
            </m:r>
          </m:sub>
        </m:sSub>
        <m:r>
          <w:rPr>
            <w:rFonts w:ascii="Cambria Math" w:hAnsi="Cambria Math"/>
          </w:rPr>
          <m:t>)</m:t>
        </m:r>
      </m:oMath>
      <w:r w:rsidR="00E26B17" w:rsidRPr="00F36999">
        <w:t xml:space="preserve"> es el valor del nominal restante en la banda de tiempo </w:t>
      </w:r>
      <m:oMath>
        <m:sSub>
          <m:sSubPr>
            <m:ctrlPr>
              <w:rPr>
                <w:rFonts w:ascii="Cambria Math" w:hAnsi="Cambria Math"/>
                <w:i/>
              </w:rPr>
            </m:ctrlPr>
          </m:sSubPr>
          <m:e>
            <m:r>
              <w:rPr>
                <w:rFonts w:ascii="Cambria Math" w:hAnsi="Cambria Math"/>
              </w:rPr>
              <m:t>t</m:t>
            </m:r>
          </m:e>
          <m:sub>
            <m:r>
              <w:rPr>
                <w:rFonts w:ascii="Cambria Math" w:hAnsi="Cambria Math"/>
              </w:rPr>
              <m:t>k-1</m:t>
            </m:r>
          </m:sub>
        </m:sSub>
      </m:oMath>
      <w:r w:rsidR="00E26B17" w:rsidRPr="00F36999">
        <w:t xml:space="preserve"> calculado con el escenario de estrés </w:t>
      </w:r>
      <w:r w:rsidR="00E26B17" w:rsidRPr="00F36999">
        <w:rPr>
          <w:i/>
        </w:rPr>
        <w:t>i</w:t>
      </w:r>
      <w:r w:rsidR="00F77D0D">
        <w:t>.</w:t>
      </w:r>
    </w:p>
    <w:p w14:paraId="75B8D36D" w14:textId="77777777" w:rsidR="00645C6F" w:rsidRPr="00F36999" w:rsidRDefault="00645C6F" w:rsidP="00A75EBC"/>
    <w:p w14:paraId="24AC1327" w14:textId="439B0D02" w:rsidR="00F77D0D" w:rsidRPr="006513DC" w:rsidRDefault="00F77D0D" w:rsidP="00A75EBC">
      <w:pPr>
        <w:rPr>
          <w:b/>
          <w:bCs/>
        </w:rPr>
      </w:pPr>
      <w:r w:rsidRPr="006513DC">
        <w:rPr>
          <w:b/>
          <w:bCs/>
        </w:rPr>
        <w:t>2.</w:t>
      </w:r>
      <w:r w:rsidR="00645C6F" w:rsidRPr="006513DC">
        <w:rPr>
          <w:b/>
          <w:bCs/>
        </w:rPr>
        <w:t>4.1</w:t>
      </w:r>
      <w:r w:rsidRPr="006513DC">
        <w:rPr>
          <w:b/>
          <w:bCs/>
        </w:rPr>
        <w:t xml:space="preserve">.2.2 </w:t>
      </w:r>
      <w:r w:rsidR="003B3B57">
        <w:rPr>
          <w:b/>
          <w:bCs/>
        </w:rPr>
        <w:t xml:space="preserve">Tratamiento de los </w:t>
      </w:r>
      <w:r w:rsidRPr="006513DC">
        <w:rPr>
          <w:b/>
          <w:bCs/>
        </w:rPr>
        <w:t>De</w:t>
      </w:r>
      <w:r w:rsidR="00E17CBF" w:rsidRPr="006513DC">
        <w:rPr>
          <w:b/>
          <w:bCs/>
        </w:rPr>
        <w:t>pósitos</w:t>
      </w:r>
    </w:p>
    <w:p w14:paraId="65D7AEC4" w14:textId="77777777" w:rsidR="006513DC" w:rsidRDefault="006513DC" w:rsidP="00A75EBC"/>
    <w:p w14:paraId="544ED0A9" w14:textId="16CD9ED1" w:rsidR="006D2A7E" w:rsidRDefault="002F019D" w:rsidP="00A75EBC">
      <w:r>
        <w:t>Para los depósitos que cumplan con alguna de las condiciones aquí señaladas,</w:t>
      </w:r>
      <w:r w:rsidR="00092309">
        <w:t xml:space="preserve"> </w:t>
      </w:r>
      <w:r w:rsidR="002D16E7">
        <w:t xml:space="preserve">la entidad debe ubicar los </w:t>
      </w:r>
      <w:r w:rsidR="006D2A7E" w:rsidRPr="00F36999">
        <w:t xml:space="preserve">flujos de efectivo </w:t>
      </w:r>
      <w:proofErr w:type="spellStart"/>
      <w:r w:rsidR="006D2A7E" w:rsidRPr="00F36999">
        <w:t>repreciados</w:t>
      </w:r>
      <w:proofErr w:type="spellEnd"/>
      <w:r w:rsidR="006D2A7E" w:rsidRPr="00F36999">
        <w:t xml:space="preserve"> en los puntos medios de las banda</w:t>
      </w:r>
      <w:r w:rsidR="00092309">
        <w:t>s de tiempo hasta su</w:t>
      </w:r>
      <w:r w:rsidR="006D2A7E" w:rsidRPr="00F36999">
        <w:t xml:space="preserve"> fec</w:t>
      </w:r>
      <w:r w:rsidR="00092309">
        <w:t>ha de vencimiento contractual correspondiente</w:t>
      </w:r>
      <w:r w:rsidR="003D28E7">
        <w:t xml:space="preserve"> </w:t>
      </w:r>
      <w:r w:rsidR="003D28E7" w:rsidRPr="003D28E7">
        <w:t>si se puede demostrar</w:t>
      </w:r>
      <w:r w:rsidR="003D28E7">
        <w:t xml:space="preserve"> que:</w:t>
      </w:r>
      <w:r w:rsidR="006D2A7E" w:rsidRPr="00F36999">
        <w:t xml:space="preserve"> </w:t>
      </w:r>
    </w:p>
    <w:p w14:paraId="6F2B5877" w14:textId="77777777" w:rsidR="00D734F3" w:rsidRPr="00F36999" w:rsidRDefault="00D734F3" w:rsidP="00A75EBC"/>
    <w:p w14:paraId="179FC0A7" w14:textId="77777777" w:rsidR="00D734F3" w:rsidRPr="000046AD" w:rsidRDefault="003D28E7" w:rsidP="00536F23">
      <w:pPr>
        <w:pStyle w:val="Prrafodelista"/>
        <w:numPr>
          <w:ilvl w:val="0"/>
          <w:numId w:val="19"/>
        </w:numPr>
        <w:ind w:left="284" w:hanging="284"/>
      </w:pPr>
      <w:r w:rsidRPr="000046AD">
        <w:t>E</w:t>
      </w:r>
      <w:r w:rsidR="005040A2" w:rsidRPr="000046AD">
        <w:t>l depositante no tiene derecho legal a retirar el depósito; o</w:t>
      </w:r>
    </w:p>
    <w:p w14:paraId="11CF088F" w14:textId="131DB179" w:rsidR="005040A2" w:rsidRPr="000046AD" w:rsidRDefault="002F019D" w:rsidP="00536F23">
      <w:pPr>
        <w:pStyle w:val="Prrafodelista"/>
        <w:numPr>
          <w:ilvl w:val="0"/>
          <w:numId w:val="19"/>
        </w:numPr>
        <w:ind w:left="284" w:hanging="284"/>
      </w:pPr>
      <w:r>
        <w:t xml:space="preserve">El </w:t>
      </w:r>
      <w:r w:rsidR="005040A2" w:rsidRPr="000046AD">
        <w:t>retiro anticipado resulta</w:t>
      </w:r>
      <w:r>
        <w:t>ría</w:t>
      </w:r>
      <w:r w:rsidR="005040A2" w:rsidRPr="000046AD">
        <w:t xml:space="preserve"> en una multa significativa que al menos compensa la pérdida de </w:t>
      </w:r>
      <w:r>
        <w:t xml:space="preserve">los </w:t>
      </w:r>
      <w:r w:rsidR="005040A2" w:rsidRPr="000046AD">
        <w:t>intereses entre la fecha del retiro y la fecha de</w:t>
      </w:r>
      <w:r>
        <w:t>l</w:t>
      </w:r>
      <w:r w:rsidR="005040A2" w:rsidRPr="000046AD">
        <w:t xml:space="preserve"> vencimiento contractual y el costo económico de romper el contrato</w:t>
      </w:r>
      <w:r w:rsidR="00D734F3" w:rsidRPr="000046AD">
        <w:t>.</w:t>
      </w:r>
    </w:p>
    <w:p w14:paraId="4205D2BF" w14:textId="77777777" w:rsidR="00F67F4C" w:rsidRPr="00842482" w:rsidRDefault="00F67F4C" w:rsidP="00A75EBC">
      <w:pPr>
        <w:rPr>
          <w:highlight w:val="yellow"/>
        </w:rPr>
      </w:pPr>
    </w:p>
    <w:p w14:paraId="56934D9F" w14:textId="391B2FF8" w:rsidR="00F67F4C" w:rsidRPr="00F36999" w:rsidDel="006D2A7E" w:rsidRDefault="00F67F4C" w:rsidP="00A75EBC">
      <w:r w:rsidRPr="00B63852">
        <w:t xml:space="preserve">Si no se cumple ninguna de </w:t>
      </w:r>
      <w:r w:rsidR="002F019D" w:rsidRPr="00B63852">
        <w:t xml:space="preserve">las condiciones antes mencionadas, </w:t>
      </w:r>
      <w:r w:rsidR="002F019D">
        <w:t xml:space="preserve">es decir, cuando se trata de un depósito con opción de retiro anticipado </w:t>
      </w:r>
      <w:r w:rsidR="002F019D" w:rsidRPr="00092309">
        <w:t>(</w:t>
      </w:r>
      <w:r w:rsidR="002F019D">
        <w:t>aplica para el caso de los depósitos con retiro anticipado</w:t>
      </w:r>
      <w:r w:rsidR="002F019D" w:rsidRPr="00092309">
        <w:t xml:space="preserve"> de las jurisdicciones </w:t>
      </w:r>
      <w:r w:rsidR="002F019D">
        <w:t xml:space="preserve">internacionales que así </w:t>
      </w:r>
      <w:r w:rsidR="002F019D" w:rsidRPr="00092309">
        <w:t>lo permita</w:t>
      </w:r>
      <w:r w:rsidR="002F019D">
        <w:t>n</w:t>
      </w:r>
      <w:r w:rsidR="002F019D" w:rsidRPr="00092309">
        <w:t>)</w:t>
      </w:r>
      <w:r w:rsidRPr="00B63852">
        <w:t xml:space="preserve">, el </w:t>
      </w:r>
      <w:r w:rsidR="002E31D3" w:rsidRPr="00B63852">
        <w:t>depósito</w:t>
      </w:r>
      <w:r w:rsidR="000046AD" w:rsidRPr="00B63852">
        <w:t xml:space="preserve"> se debe clasificar como </w:t>
      </w:r>
      <w:r w:rsidR="00C62108" w:rsidRPr="00B63852">
        <w:t xml:space="preserve">una </w:t>
      </w:r>
      <w:r w:rsidRPr="00B63852">
        <w:t xml:space="preserve">opción </w:t>
      </w:r>
      <w:r w:rsidR="000D0E43" w:rsidRPr="00B63852">
        <w:t>automática</w:t>
      </w:r>
      <w:r w:rsidRPr="00B63852">
        <w:t xml:space="preserve"> de t</w:t>
      </w:r>
      <w:r w:rsidR="000D0E43" w:rsidRPr="00B63852">
        <w:t>asa</w:t>
      </w:r>
      <w:r w:rsidRPr="00B63852">
        <w:t xml:space="preserve"> de interés</w:t>
      </w:r>
      <w:r w:rsidR="00C62108" w:rsidRPr="00B63852">
        <w:t xml:space="preserve"> y tratarse </w:t>
      </w:r>
      <w:r w:rsidR="002F019D" w:rsidRPr="00B63852">
        <w:t xml:space="preserve">según </w:t>
      </w:r>
      <w:r w:rsidR="00C62108" w:rsidRPr="00B63852">
        <w:t xml:space="preserve">las </w:t>
      </w:r>
      <w:r w:rsidR="002F019D" w:rsidRPr="00B63852">
        <w:t xml:space="preserve">siguientes </w:t>
      </w:r>
      <w:r w:rsidR="00C62108" w:rsidRPr="00B63852">
        <w:t>instrucciones</w:t>
      </w:r>
      <w:r w:rsidR="002F019D" w:rsidRPr="00B63852">
        <w:t>:</w:t>
      </w:r>
    </w:p>
    <w:p w14:paraId="1E6D61DD" w14:textId="19B9220F" w:rsidR="0061607F" w:rsidRPr="00F36999" w:rsidRDefault="0061607F" w:rsidP="00A75EBC"/>
    <w:p w14:paraId="4FF653EA" w14:textId="49A1990D" w:rsidR="002B63CD" w:rsidRDefault="00FD6959" w:rsidP="00A75EBC">
      <w:pPr>
        <w:rPr>
          <w:rFonts w:ascii="Cambria Math" w:hAnsi="Cambria Math"/>
          <w:i/>
        </w:rPr>
      </w:pPr>
      <w:r>
        <w:t>La</w:t>
      </w:r>
      <w:r w:rsidR="001C5E9C">
        <w:t xml:space="preserve"> entidad</w:t>
      </w:r>
      <w:r w:rsidRPr="00FD6959">
        <w:t xml:space="preserve"> debe determinar el índice de redención de </w:t>
      </w:r>
      <w:r w:rsidR="002F019D">
        <w:t xml:space="preserve">los </w:t>
      </w:r>
      <w:r w:rsidRPr="00FD6959">
        <w:t xml:space="preserve">depósitos a plazo de referencia </w:t>
      </w:r>
      <m:oMath>
        <m:sSubSup>
          <m:sSubSupPr>
            <m:ctrlPr>
              <w:rPr>
                <w:rFonts w:ascii="Cambria Math" w:hAnsi="Cambria Math"/>
                <w:i/>
              </w:rPr>
            </m:ctrlPr>
          </m:sSubSupPr>
          <m:e>
            <m:r>
              <w:rPr>
                <w:rFonts w:ascii="Cambria Math" w:hAnsi="Cambria Math"/>
              </w:rPr>
              <m:t>TDRR</m:t>
            </m:r>
          </m:e>
          <m:sub>
            <m:r>
              <w:rPr>
                <w:rFonts w:ascii="Cambria Math" w:hAnsi="Cambria Math"/>
              </w:rPr>
              <m:t>0,c</m:t>
            </m:r>
          </m:sub>
          <m:sup>
            <m:r>
              <w:rPr>
                <w:rFonts w:ascii="Cambria Math" w:hAnsi="Cambria Math"/>
              </w:rPr>
              <m:t>p</m:t>
            </m:r>
          </m:sup>
        </m:sSubSup>
      </m:oMath>
      <w:r w:rsidR="003C4FE1">
        <w:t xml:space="preserve"> </w:t>
      </w:r>
      <w:r w:rsidRPr="00FD6959">
        <w:t>aplicable a cada cartera homogénea</w:t>
      </w:r>
      <w:r w:rsidR="00182299">
        <w:rPr>
          <w:rFonts w:eastAsiaTheme="minorEastAsia"/>
        </w:rPr>
        <w:t xml:space="preserve"> </w:t>
      </w:r>
      <m:oMath>
        <m:r>
          <w:rPr>
            <w:rFonts w:ascii="Cambria Math" w:hAnsi="Cambria Math"/>
          </w:rPr>
          <m:t xml:space="preserve"> p</m:t>
        </m:r>
      </m:oMath>
      <w:r w:rsidRPr="00FD6959">
        <w:t xml:space="preserve"> de depósitos a plazo en </w:t>
      </w:r>
      <w:r w:rsidR="002F019D">
        <w:t xml:space="preserve">la </w:t>
      </w:r>
      <w:r w:rsidRPr="00FD6959">
        <w:t xml:space="preserve">moneda </w:t>
      </w:r>
      <m:oMath>
        <m:r>
          <w:rPr>
            <w:rFonts w:ascii="Cambria Math" w:hAnsi="Cambria Math"/>
          </w:rPr>
          <m:t>c</m:t>
        </m:r>
      </m:oMath>
      <w:r w:rsidR="00425A3A">
        <w:t xml:space="preserve"> </w:t>
      </w:r>
      <w:r w:rsidRPr="00FD6959">
        <w:t xml:space="preserve">y utilizarlo para ubicar los flujos de efectivo de </w:t>
      </w:r>
      <w:proofErr w:type="spellStart"/>
      <w:r w:rsidR="00B21BFC">
        <w:t>reprecio</w:t>
      </w:r>
      <w:proofErr w:type="spellEnd"/>
      <w:r w:rsidRPr="00FD6959">
        <w:t xml:space="preserve">. </w:t>
      </w:r>
      <w:r w:rsidR="002B63CD" w:rsidRPr="00FD6959">
        <w:t>Los depósitos a plazo que se espera</w:t>
      </w:r>
      <w:r w:rsidR="002B63CD">
        <w:t xml:space="preserve">n retirar </w:t>
      </w:r>
      <w:r w:rsidR="002B63CD" w:rsidRPr="00FD6959">
        <w:t xml:space="preserve">anticipadamente se colocan en el intervalo de tiempo </w:t>
      </w:r>
      <w:r w:rsidR="001C7C20" w:rsidRPr="00842482">
        <w:rPr>
          <w:i/>
          <w:iCs/>
        </w:rPr>
        <w:t>overnight</w:t>
      </w:r>
      <w:r w:rsidR="002B63CD" w:rsidRPr="00842482">
        <w:rPr>
          <w:i/>
          <w:iCs/>
        </w:rPr>
        <w:t xml:space="preserve"> </w:t>
      </w:r>
      <w:r w:rsidR="002B63CD" w:rsidRPr="00FD6959">
        <w:t>(</w:t>
      </w:r>
      <m:oMath>
        <m:r>
          <w:rPr>
            <w:rFonts w:ascii="Cambria Math" w:hAnsi="Cambria Math"/>
          </w:rPr>
          <m:t>k=1</m:t>
        </m:r>
      </m:oMath>
      <w:r w:rsidR="002B63CD" w:rsidRPr="00FD6959">
        <w:t xml:space="preserve">) </w:t>
      </w:r>
      <w:r w:rsidR="002F019D">
        <w:t>(equivalente a</w:t>
      </w:r>
      <w:r w:rsidR="002B63CD" w:rsidRPr="00FD6959">
        <w:t>l punto medio del intervalo de tiempo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sidR="002B63CD" w:rsidRPr="00FD6959">
        <w:t>)</w:t>
      </w:r>
      <w:r w:rsidR="002F019D">
        <w:t>).</w:t>
      </w:r>
    </w:p>
    <w:p w14:paraId="3373BD5F" w14:textId="64717559" w:rsidR="009A2DBD" w:rsidRDefault="009A2DBD" w:rsidP="00A75EBC"/>
    <w:p w14:paraId="2C670DF1" w14:textId="3F8BD96F" w:rsidR="009A2DBD" w:rsidRPr="009A2DBD" w:rsidRDefault="008E2EBD" w:rsidP="00A75EBC">
      <w:r>
        <w:rPr>
          <w:noProof/>
        </w:rPr>
        <w:lastRenderedPageBreak/>
        <mc:AlternateContent>
          <mc:Choice Requires="wps">
            <w:drawing>
              <wp:anchor distT="0" distB="0" distL="114300" distR="114300" simplePos="0" relativeHeight="251677696" behindDoc="0" locked="0" layoutInCell="1" allowOverlap="1" wp14:anchorId="47375C97" wp14:editId="240789C9">
                <wp:simplePos x="0" y="0"/>
                <wp:positionH relativeFrom="column">
                  <wp:posOffset>-194310</wp:posOffset>
                </wp:positionH>
                <wp:positionV relativeFrom="paragraph">
                  <wp:posOffset>35560</wp:posOffset>
                </wp:positionV>
                <wp:extent cx="9525" cy="10086975"/>
                <wp:effectExtent l="0" t="0" r="28575" b="28575"/>
                <wp:wrapNone/>
                <wp:docPr id="14" name="Conector recto 14"/>
                <wp:cNvGraphicFramePr/>
                <a:graphic xmlns:a="http://schemas.openxmlformats.org/drawingml/2006/main">
                  <a:graphicData uri="http://schemas.microsoft.com/office/word/2010/wordprocessingShape">
                    <wps:wsp>
                      <wps:cNvCnPr/>
                      <wps:spPr>
                        <a:xfrm>
                          <a:off x="0" y="0"/>
                          <a:ext cx="9525" cy="10086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2C34B1" id="Conector recto 1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pt,2.8pt" to="-14.55pt,79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" strokecolor="black [3200]" strokeweight=".5pt">
                <v:stroke joinstyle="miter"/>
              </v:line>
            </w:pict>
          </mc:Fallback>
        </mc:AlternateContent>
      </w:r>
      <w:r w:rsidR="009A2DBD" w:rsidRPr="009A2DBD">
        <w:t xml:space="preserve">El índice de amortización de </w:t>
      </w:r>
      <w:r w:rsidR="002F019D">
        <w:t xml:space="preserve">los </w:t>
      </w:r>
      <w:r w:rsidR="009A2DBD" w:rsidRPr="009A2DBD">
        <w:t xml:space="preserve">depósitos a plazo para el período </w:t>
      </w:r>
      <m:oMath>
        <m:r>
          <w:rPr>
            <w:rFonts w:ascii="Cambria Math" w:hAnsi="Cambria Math"/>
          </w:rPr>
          <m:t>k</m:t>
        </m:r>
      </m:oMath>
      <w:r w:rsidR="009A2DBD" w:rsidRPr="009A2DBD">
        <w:t xml:space="preserve"> o el punto medio del período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9A2DBD" w:rsidRPr="009A2DBD">
        <w:t xml:space="preserve"> se obtiene multiplicando</w:t>
      </w:r>
      <w:r w:rsidR="006B6EBE">
        <w:t xml:space="preserve"> </w:t>
      </w:r>
      <m:oMath>
        <m:sSubSup>
          <m:sSubSupPr>
            <m:ctrlPr>
              <w:rPr>
                <w:rFonts w:ascii="Cambria Math" w:hAnsi="Cambria Math"/>
                <w:i/>
              </w:rPr>
            </m:ctrlPr>
          </m:sSubSupPr>
          <m:e>
            <m:r>
              <w:rPr>
                <w:rFonts w:ascii="Cambria Math" w:hAnsi="Cambria Math"/>
              </w:rPr>
              <m:t>TDRR</m:t>
            </m:r>
          </m:e>
          <m:sub>
            <m:r>
              <w:rPr>
                <w:rFonts w:ascii="Cambria Math" w:hAnsi="Cambria Math"/>
              </w:rPr>
              <m:t>0,c</m:t>
            </m:r>
          </m:sub>
          <m:sup>
            <m:r>
              <w:rPr>
                <w:rFonts w:ascii="Cambria Math" w:hAnsi="Cambria Math"/>
              </w:rPr>
              <m:t>p</m:t>
            </m:r>
          </m:sup>
        </m:sSubSup>
      </m:oMath>
      <w:r w:rsidR="009A2DBD" w:rsidRPr="009A2DBD">
        <w:t xml:space="preserve"> por un escalar </w:t>
      </w: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74602C" w:rsidRPr="009A2DBD">
        <w:t xml:space="preserve"> </w:t>
      </w:r>
      <w:r w:rsidR="009A2DBD" w:rsidRPr="009A2DBD">
        <w:t xml:space="preserve">que depende del escenario </w:t>
      </w:r>
      <m:oMath>
        <m:r>
          <w:rPr>
            <w:rFonts w:ascii="Cambria Math" w:hAnsi="Cambria Math"/>
          </w:rPr>
          <m:t>i</m:t>
        </m:r>
      </m:oMath>
      <w:r w:rsidR="009A2DBD" w:rsidRPr="009A2DBD">
        <w:t>, como sigue:</w:t>
      </w:r>
    </w:p>
    <w:p w14:paraId="6E5C5444" w14:textId="30E640B0" w:rsidR="009F3179" w:rsidRPr="00F36999" w:rsidRDefault="009F3179" w:rsidP="00A75EBC"/>
    <w:p w14:paraId="7DA2C2F6" w14:textId="4303CFFD" w:rsidR="00E26B17" w:rsidRPr="00F36999" w:rsidRDefault="00E41B2D" w:rsidP="000046AD">
      <w:pPr>
        <w:jc w:val="center"/>
        <w:rPr>
          <w:rFonts w:eastAsiaTheme="minorEastAsia"/>
        </w:rPr>
      </w:pPr>
      <m:oMath>
        <m:sSubSup>
          <m:sSubSupPr>
            <m:ctrlPr>
              <w:rPr>
                <w:rFonts w:ascii="Cambria Math" w:hAnsi="Cambria Math"/>
              </w:rPr>
            </m:ctrlPr>
          </m:sSubSupPr>
          <m:e>
            <m:r>
              <w:rPr>
                <w:rFonts w:ascii="Cambria Math" w:hAnsi="Cambria Math"/>
              </w:rPr>
              <m:t>TDRR</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eastAsiaTheme="minorEastAsia" w:hAnsi="Cambria Math"/>
          </w:rPr>
          <m:t>=</m:t>
        </m:r>
      </m:oMath>
      <w:r w:rsidR="00E26B17" w:rsidRPr="00F36999">
        <w:rPr>
          <w:rFonts w:eastAsiaTheme="minorEastAsia"/>
        </w:rPr>
        <w:t xml:space="preserve"> </w:t>
      </w:r>
      <m:oMath>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 xml:space="preserve">(1, </m:t>
            </m:r>
            <m:sSub>
              <m:sSubPr>
                <m:ctrlPr>
                  <w:rPr>
                    <w:rFonts w:ascii="Cambria Math" w:hAnsi="Cambria Math"/>
                  </w:rPr>
                </m:ctrlPr>
              </m:sSubPr>
              <m:e>
                <m:r>
                  <w:rPr>
                    <w:rFonts w:ascii="Cambria Math" w:hAnsi="Cambria Math"/>
                  </w:rPr>
                  <m:t>μ</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TDRR</m:t>
                </m:r>
              </m:e>
              <m:sub>
                <m:r>
                  <m:rPr>
                    <m:sty m:val="p"/>
                  </m:rPr>
                  <w:rPr>
                    <w:rFonts w:ascii="Cambria Math" w:hAnsi="Cambria Math"/>
                  </w:rPr>
                  <m:t>0,</m:t>
                </m:r>
                <m:r>
                  <w:rPr>
                    <w:rFonts w:ascii="Cambria Math" w:hAnsi="Cambria Math"/>
                  </w:rPr>
                  <m:t>c</m:t>
                </m:r>
              </m:sub>
              <m:sup>
                <m:r>
                  <w:rPr>
                    <w:rFonts w:ascii="Cambria Math" w:hAnsi="Cambria Math"/>
                  </w:rPr>
                  <m:t>p</m:t>
                </m:r>
              </m:sup>
            </m:sSubSup>
            <m:r>
              <m:rPr>
                <m:sty m:val="p"/>
              </m:rPr>
              <w:rPr>
                <w:rFonts w:ascii="Cambria Math" w:hAnsi="Cambria Math"/>
              </w:rPr>
              <m:t>)</m:t>
            </m:r>
          </m:e>
        </m:func>
      </m:oMath>
    </w:p>
    <w:p w14:paraId="3A164E67" w14:textId="59F2FD3A" w:rsidR="00082B37" w:rsidRPr="00F36999" w:rsidRDefault="00082B37" w:rsidP="00A75EBC"/>
    <w:p w14:paraId="6EC1D168" w14:textId="7DA017B5" w:rsidR="00E26B17" w:rsidRPr="00F36999" w:rsidRDefault="00E26B17" w:rsidP="00A75EBC">
      <w:r w:rsidRPr="00F36999">
        <w:t xml:space="preserve">Donde </w:t>
      </w:r>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 xml:space="preserve"> </m:t>
        </m:r>
      </m:oMath>
      <w:r w:rsidRPr="00F36999">
        <w:t xml:space="preserve">es el ponderador del escenario i. El coeficiente </w:t>
      </w:r>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 xml:space="preserve"> </m:t>
        </m:r>
      </m:oMath>
      <w:r w:rsidRPr="00F36999">
        <w:t>toma dos valores:</w:t>
      </w:r>
    </w:p>
    <w:p w14:paraId="1C8B6371" w14:textId="4ED270CC" w:rsidR="00E26B17" w:rsidRPr="00F36999" w:rsidRDefault="00E26B17" w:rsidP="00A75EBC"/>
    <w:p w14:paraId="2A72A5D1" w14:textId="7BCE2BA6" w:rsidR="00E26B17" w:rsidRPr="00F36999" w:rsidRDefault="00E41B2D" w:rsidP="00F810C9">
      <w:pPr>
        <w:pStyle w:val="Prrafodelista"/>
        <w:numPr>
          <w:ilvl w:val="0"/>
          <w:numId w:val="5"/>
        </w:numPr>
        <w:ind w:left="567" w:hanging="283"/>
      </w:pP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E26B17" w:rsidRPr="00F36999">
        <w:t>= 1.2 para los escenarios 1,</w:t>
      </w:r>
      <w:r w:rsidR="000D1A9F" w:rsidRPr="00F36999">
        <w:t xml:space="preserve"> </w:t>
      </w:r>
      <w:r w:rsidR="00E26B17" w:rsidRPr="00F36999">
        <w:t xml:space="preserve">4 y 5 (paralelo al alza, </w:t>
      </w:r>
      <w:r w:rsidR="00E26B17" w:rsidRPr="00F36999">
        <w:rPr>
          <w:rFonts w:eastAsiaTheme="minorEastAsia"/>
        </w:rPr>
        <w:t>aplanamiento</w:t>
      </w:r>
      <w:r w:rsidR="00E26B17" w:rsidRPr="00F36999">
        <w:t xml:space="preserve"> y subida de tasas en el </w:t>
      </w:r>
      <w:r w:rsidR="002F019D">
        <w:t xml:space="preserve">corto </w:t>
      </w:r>
      <w:r w:rsidR="00E26B17" w:rsidRPr="00F36999">
        <w:t>plazo)</w:t>
      </w:r>
    </w:p>
    <w:p w14:paraId="0B500C82" w14:textId="27B4B41C" w:rsidR="00E26B17" w:rsidRPr="00F36999" w:rsidRDefault="00E41B2D" w:rsidP="00F810C9">
      <w:pPr>
        <w:pStyle w:val="Prrafodelista"/>
        <w:numPr>
          <w:ilvl w:val="0"/>
          <w:numId w:val="5"/>
        </w:numPr>
        <w:ind w:left="567" w:hanging="283"/>
      </w:pP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E26B17" w:rsidRPr="00F36999">
        <w:t xml:space="preserve"> = 0.8 para los escenarios 2,</w:t>
      </w:r>
      <w:r w:rsidR="000D1A9F" w:rsidRPr="00F36999">
        <w:t xml:space="preserve"> </w:t>
      </w:r>
      <w:r w:rsidR="00E26B17" w:rsidRPr="00F36999">
        <w:t xml:space="preserve">3 y 6 (paralelo a la baja, inclinación y </w:t>
      </w:r>
      <w:r w:rsidR="002F019D">
        <w:t xml:space="preserve">una </w:t>
      </w:r>
      <w:r w:rsidR="002F019D" w:rsidRPr="00F36999">
        <w:t>baja</w:t>
      </w:r>
      <w:r w:rsidR="002F019D">
        <w:t xml:space="preserve"> </w:t>
      </w:r>
      <w:r w:rsidR="002F019D" w:rsidRPr="00F36999">
        <w:t>de tasas</w:t>
      </w:r>
      <w:r w:rsidR="00E26B17" w:rsidRPr="00F36999">
        <w:t xml:space="preserve"> en el </w:t>
      </w:r>
      <w:r w:rsidR="002F019D">
        <w:t xml:space="preserve">corto </w:t>
      </w:r>
      <w:r w:rsidR="00E26B17" w:rsidRPr="00F36999">
        <w:t>plazo)</w:t>
      </w:r>
    </w:p>
    <w:p w14:paraId="18FC98F1" w14:textId="77777777" w:rsidR="00E26B17" w:rsidRPr="00F36999" w:rsidRDefault="00E26B17" w:rsidP="00A75EBC"/>
    <w:p w14:paraId="2D84147E" w14:textId="10036649" w:rsidR="00E26B17" w:rsidRPr="00F36999" w:rsidRDefault="00F420D9" w:rsidP="00A75EBC">
      <w:r w:rsidRPr="00F36999">
        <w:t xml:space="preserve">Finalmente, </w:t>
      </w:r>
      <w:r w:rsidR="002F019D">
        <w:t>l</w:t>
      </w:r>
      <w:r w:rsidR="000E21D0">
        <w:t>a entidad</w:t>
      </w:r>
      <w:r w:rsidRPr="00F36999">
        <w:t xml:space="preserve"> debe clasificarlos </w:t>
      </w:r>
      <w:r w:rsidR="00E26B17" w:rsidRPr="00F36999">
        <w:t xml:space="preserve">dentro de la banda de tiempo </w:t>
      </w:r>
      <w:r w:rsidR="00E26B17" w:rsidRPr="00F36999">
        <w:rPr>
          <w:i/>
        </w:rPr>
        <w:t xml:space="preserve">overnight </w:t>
      </w:r>
      <w:r w:rsidR="00E26B17" w:rsidRPr="00F36999">
        <w:t>(</w:t>
      </w: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r w:rsidR="002F019D">
        <w:t>. L</w:t>
      </w:r>
      <w:r w:rsidR="00E26B17" w:rsidRPr="00F36999">
        <w:t>os flujos de caja correspondientes están dados por</w:t>
      </w:r>
      <w:r w:rsidR="002F019D">
        <w:t xml:space="preserve"> la siguiente ecuación</w:t>
      </w:r>
      <w:r w:rsidR="00E26B17" w:rsidRPr="00F36999">
        <w:t>:</w:t>
      </w:r>
    </w:p>
    <w:p w14:paraId="3F12EF6E" w14:textId="77777777" w:rsidR="00E26B17" w:rsidRPr="00F36999" w:rsidRDefault="00E26B17" w:rsidP="00A75EBC"/>
    <w:p w14:paraId="547817A4" w14:textId="5A71C97D" w:rsidR="00E26B17" w:rsidRPr="00F36999" w:rsidRDefault="00E41B2D" w:rsidP="00A75EBC">
      <m:oMathPara>
        <m:oMath>
          <m:sSubSup>
            <m:sSubSupPr>
              <m:ctrlPr>
                <w:rPr>
                  <w:rFonts w:ascii="Cambria Math" w:hAnsi="Cambria Math"/>
                </w:rPr>
              </m:ctrlPr>
            </m:sSubSupPr>
            <m:e>
              <m:r>
                <w:rPr>
                  <w:rFonts w:ascii="Cambria Math" w:hAnsi="Cambria Math"/>
                </w:rPr>
                <m:t>FC</m:t>
              </m:r>
            </m:e>
            <m:sub>
              <m:r>
                <w:rPr>
                  <w:rFonts w:ascii="Cambria Math" w:hAnsi="Cambria Math"/>
                </w:rPr>
                <m:t>ic</m:t>
              </m:r>
            </m:sub>
            <m:sup>
              <m:r>
                <w:rPr>
                  <w:rFonts w:ascii="Cambria Math" w:hAnsi="Cambria Math"/>
                </w:rPr>
                <m:t>p</m:t>
              </m:r>
            </m:sup>
          </m:sSubSup>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m:rPr>
              <m:sty m:val="p"/>
            </m:rPr>
            <w:rPr>
              <w:rFonts w:ascii="Cambria Math" w:hAnsi="Cambria Math"/>
            </w:rPr>
            <m:t xml:space="preserve">= </m:t>
          </m:r>
          <m:sSubSup>
            <m:sSubSupPr>
              <m:ctrlPr>
                <w:rPr>
                  <w:rFonts w:ascii="Cambria Math" w:hAnsi="Cambria Math"/>
                </w:rPr>
              </m:ctrlPr>
            </m:sSubSupPr>
            <m:e>
              <m:r>
                <w:rPr>
                  <w:rFonts w:ascii="Cambria Math" w:hAnsi="Cambria Math"/>
                </w:rPr>
                <m:t>TDRR</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DP</m:t>
              </m:r>
            </m:e>
            <m:sub>
              <m:r>
                <w:rPr>
                  <w:rFonts w:ascii="Cambria Math" w:hAnsi="Cambria Math"/>
                </w:rPr>
                <m:t>i</m:t>
              </m:r>
              <m:r>
                <m:rPr>
                  <m:sty m:val="p"/>
                </m:rPr>
                <w:rPr>
                  <w:rFonts w:ascii="Cambria Math" w:hAnsi="Cambria Math"/>
                </w:rPr>
                <m:t>,</m:t>
              </m:r>
              <m:r>
                <w:rPr>
                  <w:rFonts w:ascii="Cambria Math" w:hAnsi="Cambria Math"/>
                </w:rPr>
                <m:t>c</m:t>
              </m:r>
            </m:sub>
            <m:sup>
              <m:r>
                <w:rPr>
                  <w:rFonts w:ascii="Cambria Math" w:hAnsi="Cambria Math"/>
                </w:rPr>
                <m:t>p</m:t>
              </m:r>
            </m:sup>
          </m:sSubSup>
        </m:oMath>
      </m:oMathPara>
    </w:p>
    <w:p w14:paraId="1E2FCFC3" w14:textId="77777777" w:rsidR="00E26B17" w:rsidRPr="00F36999" w:rsidRDefault="00E26B17" w:rsidP="00A75EBC">
      <w:r w:rsidRPr="00F36999">
        <w:t xml:space="preserve">Donde </w:t>
      </w:r>
    </w:p>
    <w:p w14:paraId="39177190" w14:textId="275E2DFF" w:rsidR="00E26B17" w:rsidRDefault="00E41B2D" w:rsidP="00A75EBC">
      <m:oMath>
        <m:sSubSup>
          <m:sSubSupPr>
            <m:ctrlPr>
              <w:rPr>
                <w:rFonts w:ascii="Cambria Math" w:hAnsi="Cambria Math"/>
                <w:i/>
              </w:rPr>
            </m:ctrlPr>
          </m:sSubSupPr>
          <m:e>
            <m:r>
              <w:rPr>
                <w:rFonts w:ascii="Cambria Math" w:hAnsi="Cambria Math"/>
              </w:rPr>
              <m:t>DP</m:t>
            </m:r>
          </m:e>
          <m:sub>
            <m:r>
              <w:rPr>
                <w:rFonts w:ascii="Cambria Math" w:hAnsi="Cambria Math"/>
              </w:rPr>
              <m:t>i,c</m:t>
            </m:r>
          </m:sub>
          <m:sup>
            <m:r>
              <w:rPr>
                <w:rFonts w:ascii="Cambria Math" w:hAnsi="Cambria Math"/>
              </w:rPr>
              <m:t>p</m:t>
            </m:r>
          </m:sup>
        </m:sSubSup>
        <m:r>
          <w:rPr>
            <w:rFonts w:ascii="Cambria Math" w:hAnsi="Cambria Math"/>
          </w:rPr>
          <m:t xml:space="preserve"> </m:t>
        </m:r>
      </m:oMath>
      <w:r w:rsidR="00E26B17" w:rsidRPr="00F36999">
        <w:t xml:space="preserve">es el monto remanente del depósito a </w:t>
      </w:r>
      <w:r w:rsidR="0058317E" w:rsidRPr="004B50BC">
        <w:t>t</w:t>
      </w:r>
      <w:r w:rsidR="0058317E" w:rsidRPr="00842482">
        <w:t>é</w:t>
      </w:r>
      <w:r w:rsidR="0058317E" w:rsidRPr="004B50BC">
        <w:t>rmino</w:t>
      </w:r>
      <w:r w:rsidR="00BA512F" w:rsidRPr="004B50BC">
        <w:t xml:space="preserve"> para los</w:t>
      </w:r>
      <w:r w:rsidR="00BA512F">
        <w:t xml:space="preserve"> depósitos de clase </w:t>
      </w:r>
      <m:oMath>
        <m:r>
          <w:rPr>
            <w:rFonts w:ascii="Cambria Math" w:hAnsi="Cambria Math"/>
          </w:rPr>
          <m:t>p</m:t>
        </m:r>
      </m:oMath>
      <w:r w:rsidR="002F019D">
        <w:rPr>
          <w:rFonts w:eastAsiaTheme="minorEastAsia"/>
        </w:rPr>
        <w:t>.</w:t>
      </w:r>
    </w:p>
    <w:p w14:paraId="63175000" w14:textId="77777777" w:rsidR="002F019D" w:rsidRDefault="002F019D" w:rsidP="00A75EBC"/>
    <w:p w14:paraId="1116838E" w14:textId="0145D8A8" w:rsidR="005742EF" w:rsidRPr="00CE5E4D" w:rsidRDefault="005742EF" w:rsidP="00B81B30">
      <w:pPr>
        <w:pStyle w:val="Prrafodelista"/>
        <w:numPr>
          <w:ilvl w:val="2"/>
          <w:numId w:val="14"/>
        </w:numPr>
        <w:rPr>
          <w:b/>
          <w:bCs/>
        </w:rPr>
      </w:pPr>
      <w:r w:rsidRPr="00CE5E4D">
        <w:rPr>
          <w:b/>
          <w:bCs/>
        </w:rPr>
        <w:t>Cálculo de las opciones automáticas (KAO)</w:t>
      </w:r>
    </w:p>
    <w:p w14:paraId="1D062FE6" w14:textId="77777777" w:rsidR="00CE5E4D" w:rsidRDefault="00CE5E4D" w:rsidP="00A75EBC"/>
    <w:p w14:paraId="0B78A6E4" w14:textId="7F97D675" w:rsidR="0000770E" w:rsidRDefault="008F1F39" w:rsidP="00A75EBC">
      <w:r>
        <w:t xml:space="preserve">Para adicionar al VEP todas las opciones automáticas, compradas y vendidas, de tasa de interés ya sean explícitas o implícitas o aquellas </w:t>
      </w:r>
      <w:r w:rsidR="00E541A6">
        <w:t>ex</w:t>
      </w:r>
      <w:r>
        <w:t>posiciones que presenten un comportamiento similar a una opción automática, l</w:t>
      </w:r>
      <w:r w:rsidR="009F5193">
        <w:t>a entidad debe realizar el siguiente cálculo:</w:t>
      </w:r>
      <w:r w:rsidR="00A832CA">
        <w:t xml:space="preserve"> </w:t>
      </w:r>
    </w:p>
    <w:p w14:paraId="421585E7" w14:textId="77777777" w:rsidR="0000770E" w:rsidRDefault="0000770E" w:rsidP="00A75EBC"/>
    <w:p w14:paraId="023BCAB5" w14:textId="31D25C73" w:rsidR="00557A64" w:rsidRPr="00842482" w:rsidRDefault="00E541A6" w:rsidP="00536F23">
      <w:pPr>
        <w:pStyle w:val="Prrafodelista"/>
        <w:numPr>
          <w:ilvl w:val="0"/>
          <w:numId w:val="20"/>
        </w:numPr>
        <w:ind w:left="284" w:hanging="284"/>
        <w:rPr>
          <w:rFonts w:eastAsiaTheme="minorEastAsia"/>
        </w:rPr>
      </w:pPr>
      <w:r>
        <w:t>Se debe realizar e</w:t>
      </w:r>
      <w:r w:rsidR="00BB404B" w:rsidRPr="00842482">
        <w:t xml:space="preserve">l cálculo con base en </w:t>
      </w:r>
      <w:r w:rsidR="00557A64" w:rsidRPr="00842482">
        <w:t>la estimación del cambio en el valor razonable de cada opción</w:t>
      </w:r>
      <w:r w:rsidR="00981C91" w:rsidRPr="00842482">
        <w:t xml:space="preserve"> de tasa de interés comprada o vendida</w:t>
      </w:r>
      <w:r w:rsidR="00557A64" w:rsidRPr="00842482">
        <w:rPr>
          <w:rFonts w:eastAsiaTheme="minorEastAsia"/>
        </w:rPr>
        <w:t xml:space="preserve">, </w:t>
      </w:r>
      <w:r w:rsidR="0000770E" w:rsidRPr="00842482">
        <w:rPr>
          <w:rFonts w:eastAsiaTheme="minorEastAsia"/>
        </w:rPr>
        <w:t>de acuerdo co</w:t>
      </w:r>
      <w:r w:rsidR="00557A64" w:rsidRPr="00842482">
        <w:rPr>
          <w:rFonts w:eastAsiaTheme="minorEastAsia"/>
        </w:rPr>
        <w:t>n la siguiente ecuación:</w:t>
      </w:r>
    </w:p>
    <w:p w14:paraId="4ADC42DE" w14:textId="77777777" w:rsidR="00557A64" w:rsidRDefault="00557A64" w:rsidP="00A75EBC"/>
    <w:p w14:paraId="7EFE1291" w14:textId="77777777" w:rsidR="00557A64" w:rsidRPr="00266D9E" w:rsidRDefault="00002E5A" w:rsidP="00A75EBC">
      <m:oMathPara>
        <m:oMath>
          <m:r>
            <m:rPr>
              <m:sty m:val="p"/>
            </m:rPr>
            <w:rPr>
              <w:rFonts w:ascii="Cambria Math" w:hAnsi="Cambria Math"/>
            </w:rPr>
            <m:t>∆</m:t>
          </m:r>
          <m:r>
            <w:rPr>
              <w:rFonts w:ascii="Cambria Math" w:hAnsi="Cambria Math"/>
            </w:rPr>
            <m:t>FVA</m:t>
          </m:r>
          <m:sSub>
            <m:sSubPr>
              <m:ctrlPr>
                <w:rPr>
                  <w:rFonts w:ascii="Cambria Math" w:hAnsi="Cambria Math"/>
                </w:rPr>
              </m:ctrlPr>
            </m:sSubPr>
            <m:e>
              <m:r>
                <w:rPr>
                  <w:rFonts w:ascii="Cambria Math" w:hAnsi="Cambria Math"/>
                </w:rPr>
                <m:t>O</m:t>
              </m:r>
            </m:e>
            <m:sub>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sub>
          </m:sSub>
          <m:r>
            <m:rPr>
              <m:sty m:val="p"/>
            </m:rPr>
            <w:rPr>
              <w:rFonts w:ascii="Cambria Math" w:hAnsi="Cambria Math"/>
            </w:rPr>
            <m:t xml:space="preserve">= </m:t>
          </m:r>
          <m:r>
            <w:rPr>
              <w:rFonts w:ascii="Cambria Math" w:hAnsi="Cambria Math"/>
            </w:rPr>
            <m:t>FVA</m:t>
          </m:r>
          <m:sSub>
            <m:sSubPr>
              <m:ctrlPr>
                <w:rPr>
                  <w:rFonts w:ascii="Cambria Math" w:hAnsi="Cambria Math"/>
                </w:rPr>
              </m:ctrlPr>
            </m:sSubPr>
            <m:e>
              <m:r>
                <w:rPr>
                  <w:rFonts w:ascii="Cambria Math" w:hAnsi="Cambria Math"/>
                </w:rPr>
                <m:t>O</m:t>
              </m:r>
            </m:e>
            <m:sub>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sub>
          </m:sSub>
          <m:r>
            <m:rPr>
              <m:sty m:val="p"/>
            </m:rPr>
            <w:rPr>
              <w:rFonts w:ascii="Cambria Math" w:hAnsi="Cambria Math"/>
            </w:rPr>
            <m:t>-</m:t>
          </m:r>
          <m:r>
            <w:rPr>
              <w:rFonts w:ascii="Cambria Math" w:hAnsi="Cambria Math"/>
            </w:rPr>
            <m:t>FVA</m:t>
          </m:r>
          <m:sSub>
            <m:sSubPr>
              <m:ctrlPr>
                <w:rPr>
                  <w:rFonts w:ascii="Cambria Math" w:hAnsi="Cambria Math"/>
                </w:rPr>
              </m:ctrlPr>
            </m:sSubPr>
            <m:e>
              <m:r>
                <w:rPr>
                  <w:rFonts w:ascii="Cambria Math" w:hAnsi="Cambria Math"/>
                </w:rPr>
                <m:t>O</m:t>
              </m:r>
            </m:e>
            <m:sub>
              <m:r>
                <m:rPr>
                  <m:sty m:val="p"/>
                </m:rPr>
                <w:rPr>
                  <w:rFonts w:ascii="Cambria Math" w:hAnsi="Cambria Math"/>
                </w:rPr>
                <m:t>0,</m:t>
              </m:r>
              <m:r>
                <w:rPr>
                  <w:rFonts w:ascii="Cambria Math" w:hAnsi="Cambria Math"/>
                </w:rPr>
                <m:t>j</m:t>
              </m:r>
              <m:r>
                <m:rPr>
                  <m:sty m:val="p"/>
                </m:rPr>
                <w:rPr>
                  <w:rFonts w:ascii="Cambria Math" w:hAnsi="Cambria Math"/>
                </w:rPr>
                <m:t xml:space="preserve"> </m:t>
              </m:r>
            </m:sub>
          </m:sSub>
        </m:oMath>
      </m:oMathPara>
    </w:p>
    <w:p w14:paraId="741B464D" w14:textId="77777777" w:rsidR="00557A64" w:rsidRDefault="00557A64" w:rsidP="00A75EBC"/>
    <w:p w14:paraId="5564DB1A" w14:textId="77777777" w:rsidR="00557A64" w:rsidRPr="00266D9E" w:rsidRDefault="00557A64" w:rsidP="00A75EBC">
      <w:r>
        <w:t>Donde:</w:t>
      </w:r>
    </w:p>
    <w:p w14:paraId="1D2F9348" w14:textId="59AB7E7F" w:rsidR="008A380D" w:rsidRPr="00266D9E" w:rsidRDefault="00CE5E4D" w:rsidP="00A75EBC">
      <m:oMath>
        <m:r>
          <w:rPr>
            <w:rFonts w:ascii="Cambria Math" w:hAnsi="Cambria Math"/>
          </w:rPr>
          <m:t>FVA</m:t>
        </m:r>
        <m:sSub>
          <m:sSubPr>
            <m:ctrlPr>
              <w:rPr>
                <w:rFonts w:ascii="Cambria Math" w:hAnsi="Cambria Math"/>
                <w:i/>
                <w:iCs/>
              </w:rPr>
            </m:ctrlPr>
          </m:sSubPr>
          <m:e>
            <m:r>
              <w:rPr>
                <w:rFonts w:ascii="Cambria Math" w:hAnsi="Cambria Math"/>
              </w:rPr>
              <m:t>O</m:t>
            </m:r>
          </m:e>
          <m:sub>
            <m:r>
              <w:rPr>
                <w:rFonts w:ascii="Cambria Math" w:hAnsi="Cambria Math"/>
              </w:rPr>
              <m:t xml:space="preserve">i, j </m:t>
            </m:r>
          </m:sub>
        </m:sSub>
      </m:oMath>
      <w:r w:rsidR="008A380D" w:rsidRPr="00266D9E">
        <w:t>: Valor razonable de la o</w:t>
      </w:r>
      <w:proofErr w:type="spellStart"/>
      <w:r w:rsidR="008A380D" w:rsidRPr="00266D9E">
        <w:t>pción</w:t>
      </w:r>
      <w:proofErr w:type="spellEnd"/>
      <w:r w:rsidR="008A380D" w:rsidRPr="00266D9E">
        <w:t xml:space="preserve"> automática j dada la curva de rendimiento estresada</w:t>
      </w:r>
      <w:r w:rsidR="00A02D24">
        <w:t xml:space="preserve"> en el escenario i</w:t>
      </w:r>
      <w:r w:rsidR="008A380D" w:rsidRPr="00266D9E">
        <w:t xml:space="preserve"> y un incremento de la volatilidad </w:t>
      </w:r>
      <w:r w:rsidR="00497A9F">
        <w:t>del 25%</w:t>
      </w:r>
      <w:r w:rsidR="008A380D" w:rsidRPr="00266D9E">
        <w:t>.</w:t>
      </w:r>
    </w:p>
    <w:p w14:paraId="19365A47" w14:textId="68EE8657" w:rsidR="00557A64" w:rsidRDefault="00CE5E4D" w:rsidP="00A75EBC">
      <m:oMath>
        <m:r>
          <w:rPr>
            <w:rFonts w:ascii="Cambria Math" w:hAnsi="Cambria Math"/>
          </w:rPr>
          <m:t>FVA</m:t>
        </m:r>
        <m:sSub>
          <m:sSubPr>
            <m:ctrlPr>
              <w:rPr>
                <w:rFonts w:ascii="Cambria Math" w:hAnsi="Cambria Math"/>
                <w:i/>
                <w:iCs/>
              </w:rPr>
            </m:ctrlPr>
          </m:sSubPr>
          <m:e>
            <m:r>
              <w:rPr>
                <w:rFonts w:ascii="Cambria Math" w:hAnsi="Cambria Math"/>
              </w:rPr>
              <m:t>O</m:t>
            </m:r>
          </m:e>
          <m:sub>
            <m:r>
              <w:rPr>
                <w:rFonts w:ascii="Cambria Math" w:hAnsi="Cambria Math"/>
              </w:rPr>
              <m:t xml:space="preserve">0, j </m:t>
            </m:r>
          </m:sub>
        </m:sSub>
      </m:oMath>
      <w:r w:rsidR="00557A64" w:rsidRPr="00CE5E4D">
        <w:t>:</w:t>
      </w:r>
      <w:r w:rsidR="00557A64" w:rsidRPr="00266D9E">
        <w:t xml:space="preserve"> Valor razonable de la opción automática j dada la curva de rendimiento actual y las condiciones de volatilidad actuales</w:t>
      </w:r>
      <w:r w:rsidR="00752BF4">
        <w:t>.</w:t>
      </w:r>
    </w:p>
    <w:p w14:paraId="0F099E08" w14:textId="2734E99D" w:rsidR="00A8632E" w:rsidRDefault="00A8632E" w:rsidP="00A75EBC">
      <m:oMath>
        <m:r>
          <w:rPr>
            <w:rFonts w:ascii="Cambria Math" w:hAnsi="Cambria Math"/>
          </w:rPr>
          <m:t>i</m:t>
        </m:r>
      </m:oMath>
      <w:r>
        <w:t xml:space="preserve"> = escenario de choque de tasas de interés (del 1 al 6)</w:t>
      </w:r>
      <w:r w:rsidR="00BC3507">
        <w:t>.</w:t>
      </w:r>
    </w:p>
    <w:p w14:paraId="60CDCD49" w14:textId="7ABD17B1" w:rsidR="00BB404B" w:rsidRDefault="00BB404B" w:rsidP="00A75EBC"/>
    <w:p w14:paraId="42C48871" w14:textId="3672FDAE" w:rsidR="00C53450" w:rsidRPr="003D69F9" w:rsidRDefault="00C53450" w:rsidP="00325463">
      <w:pPr>
        <w:pStyle w:val="Prrafodelista"/>
        <w:numPr>
          <w:ilvl w:val="0"/>
          <w:numId w:val="20"/>
        </w:numPr>
        <w:ind w:left="284" w:hanging="284"/>
      </w:pPr>
      <w:r w:rsidRPr="003D69F9">
        <w:t>El KAO describe la medida del riesgo de tasa de interés de las opciones automáticas implícitas y explícitas vendidas y compradas, a partir de la siguiente ecuación:</w:t>
      </w:r>
    </w:p>
    <w:p w14:paraId="08B32DAC" w14:textId="77777777" w:rsidR="00C53450" w:rsidRPr="00266D9E" w:rsidRDefault="00C53450" w:rsidP="00A75EBC"/>
    <w:p w14:paraId="5CEBD20F" w14:textId="77777777" w:rsidR="00C53450" w:rsidRPr="00266D9E" w:rsidRDefault="00E41B2D" w:rsidP="00A75EBC">
      <m:oMathPara>
        <m:oMath>
          <m:sSub>
            <m:sSubPr>
              <m:ctrlPr>
                <w:rPr>
                  <w:rFonts w:ascii="Cambria Math" w:hAnsi="Cambria Math"/>
                </w:rPr>
              </m:ctrlPr>
            </m:sSubPr>
            <m:e>
              <m:r>
                <w:rPr>
                  <w:rFonts w:ascii="Cambria Math" w:hAnsi="Cambria Math"/>
                </w:rPr>
                <m:t>KAO</m:t>
              </m:r>
            </m:e>
            <m:sub>
              <m:r>
                <w:rPr>
                  <w:rFonts w:ascii="Cambria Math" w:hAnsi="Cambria Math"/>
                </w:rPr>
                <m:t>i</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r>
                <m:rPr>
                  <m:sty m:val="p"/>
                </m:rPr>
                <w:rPr>
                  <w:rFonts w:ascii="Cambria Math" w:hAnsi="Cambria Math"/>
                </w:rPr>
                <m:t>∆</m:t>
              </m:r>
              <m:r>
                <w:rPr>
                  <w:rFonts w:ascii="Cambria Math" w:hAnsi="Cambria Math"/>
                </w:rPr>
                <m:t>FVA</m:t>
              </m:r>
              <m:sSub>
                <m:sSubPr>
                  <m:ctrlPr>
                    <w:rPr>
                      <w:rFonts w:ascii="Cambria Math" w:hAnsi="Cambria Math"/>
                    </w:rPr>
                  </m:ctrlPr>
                </m:sSubPr>
                <m:e>
                  <m:r>
                    <w:rPr>
                      <w:rFonts w:ascii="Cambria Math" w:hAnsi="Cambria Math"/>
                    </w:rPr>
                    <m:t>O</m:t>
                  </m:r>
                </m:e>
                <m:sub>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 xml:space="preserve"> </m:t>
                  </m:r>
                </m:sub>
              </m:sSub>
              <m:r>
                <m:rPr>
                  <m:sty m:val="p"/>
                </m:rPr>
                <w:rPr>
                  <w:rFonts w:ascii="Cambria Math" w:hAnsi="Cambria Math"/>
                </w:rPr>
                <m:t>-</m:t>
              </m:r>
            </m:e>
          </m:nary>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M</m:t>
              </m:r>
            </m:sup>
            <m:e>
              <m:r>
                <m:rPr>
                  <m:sty m:val="p"/>
                </m:rPr>
                <w:rPr>
                  <w:rFonts w:ascii="Cambria Math" w:hAnsi="Cambria Math"/>
                </w:rPr>
                <m:t>∆</m:t>
              </m:r>
              <m:r>
                <w:rPr>
                  <w:rFonts w:ascii="Cambria Math" w:hAnsi="Cambria Math"/>
                </w:rPr>
                <m:t>FVA</m:t>
              </m:r>
              <m:sSub>
                <m:sSubPr>
                  <m:ctrlPr>
                    <w:rPr>
                      <w:rFonts w:ascii="Cambria Math" w:hAnsi="Cambria Math"/>
                    </w:rPr>
                  </m:ctrlPr>
                </m:sSubPr>
                <m:e>
                  <m:r>
                    <w:rPr>
                      <w:rFonts w:ascii="Cambria Math" w:hAnsi="Cambria Math"/>
                    </w:rPr>
                    <m:t>O</m:t>
                  </m:r>
                </m:e>
                <m:sub>
                  <m:r>
                    <w:rPr>
                      <w:rFonts w:ascii="Cambria Math" w:hAnsi="Cambria Math"/>
                    </w:rPr>
                    <m:t>i</m:t>
                  </m:r>
                  <m:r>
                    <m:rPr>
                      <m:sty m:val="p"/>
                    </m:rPr>
                    <w:rPr>
                      <w:rFonts w:ascii="Cambria Math" w:hAnsi="Cambria Math"/>
                    </w:rPr>
                    <m:t>,</m:t>
                  </m:r>
                  <m:r>
                    <w:rPr>
                      <w:rFonts w:ascii="Cambria Math" w:hAnsi="Cambria Math"/>
                    </w:rPr>
                    <m:t>m</m:t>
                  </m:r>
                </m:sub>
              </m:sSub>
            </m:e>
          </m:nary>
        </m:oMath>
      </m:oMathPara>
    </w:p>
    <w:p w14:paraId="5DE67A97" w14:textId="77777777" w:rsidR="00C53450" w:rsidRPr="00266D9E" w:rsidRDefault="00C53450" w:rsidP="00A75EBC">
      <w:r w:rsidRPr="00266D9E">
        <w:t>Donde:</w:t>
      </w:r>
    </w:p>
    <w:p w14:paraId="24C6C7F9" w14:textId="77777777" w:rsidR="00C53450" w:rsidRPr="00266D9E" w:rsidRDefault="00002E5A" w:rsidP="00A75EBC">
      <m:oMath>
        <m:r>
          <m:rPr>
            <m:sty m:val="p"/>
          </m:rPr>
          <w:rPr>
            <w:rFonts w:ascii="Cambria Math" w:hAnsi="Cambria Math"/>
          </w:rPr>
          <m:t>j ϵ n:</m:t>
        </m:r>
      </m:oMath>
      <w:r w:rsidR="00C53450" w:rsidRPr="00266D9E">
        <w:t xml:space="preserve"> Opciones automáticas de tasa de interés vendidas</w:t>
      </w:r>
    </w:p>
    <w:p w14:paraId="78F26B1A" w14:textId="77777777" w:rsidR="00C53450" w:rsidRPr="00266D9E" w:rsidRDefault="00002E5A" w:rsidP="00A75EBC">
      <m:oMath>
        <m:r>
          <m:rPr>
            <m:sty m:val="p"/>
          </m:rPr>
          <w:rPr>
            <w:rFonts w:ascii="Cambria Math" w:hAnsi="Cambria Math"/>
          </w:rPr>
          <m:t>j ϵ m:</m:t>
        </m:r>
      </m:oMath>
      <w:r w:rsidR="00C53450" w:rsidRPr="00266D9E">
        <w:t xml:space="preserve"> Opciones automáticas de tasa de interés compradas</w:t>
      </w:r>
    </w:p>
    <w:p w14:paraId="75241ADB" w14:textId="182ED00E" w:rsidR="007A7B5F" w:rsidRDefault="00002E5A" w:rsidP="00A75EBC">
      <w:pPr>
        <w:rPr>
          <w:rFonts w:eastAsiaTheme="minorEastAsia"/>
        </w:rPr>
      </w:pPr>
      <m:oMath>
        <m:r>
          <w:rPr>
            <w:rFonts w:ascii="Cambria Math" w:hAnsi="Cambria Math"/>
          </w:rPr>
          <m:t>∆FVA</m:t>
        </m:r>
        <m:sSub>
          <m:sSubPr>
            <m:ctrlPr>
              <w:rPr>
                <w:rFonts w:ascii="Cambria Math" w:hAnsi="Cambria Math"/>
                <w:i/>
              </w:rPr>
            </m:ctrlPr>
          </m:sSubPr>
          <m:e>
            <m:r>
              <w:rPr>
                <w:rFonts w:ascii="Cambria Math" w:hAnsi="Cambria Math"/>
              </w:rPr>
              <m:t>O</m:t>
            </m:r>
          </m:e>
          <m:sub>
            <m:r>
              <w:rPr>
                <w:rFonts w:ascii="Cambria Math" w:hAnsi="Cambria Math"/>
              </w:rPr>
              <m:t xml:space="preserve">i,j </m:t>
            </m:r>
          </m:sub>
        </m:sSub>
        <m:r>
          <w:rPr>
            <w:rFonts w:ascii="Cambria Math" w:hAnsi="Cambria Math"/>
          </w:rPr>
          <m:t xml:space="preserve">: </m:t>
        </m:r>
      </m:oMath>
      <w:r w:rsidR="00C53450" w:rsidRPr="00266D9E">
        <w:t xml:space="preserve">Cambio del valor razonable de la opción automática </w:t>
      </w:r>
      <m:oMath>
        <m:r>
          <w:rPr>
            <w:rFonts w:ascii="Cambria Math" w:hAnsi="Cambria Math"/>
          </w:rPr>
          <m:t>j</m:t>
        </m:r>
      </m:oMath>
      <w:r w:rsidR="003A5081">
        <w:rPr>
          <w:rFonts w:eastAsiaTheme="minorEastAsia"/>
        </w:rPr>
        <w:t>.</w:t>
      </w:r>
    </w:p>
    <w:p w14:paraId="56F06A0C" w14:textId="77777777" w:rsidR="00BC3507" w:rsidRDefault="00BC3507" w:rsidP="00A75EBC">
      <w:pPr>
        <w:rPr>
          <w:rFonts w:eastAsiaTheme="minorEastAsia"/>
        </w:rPr>
      </w:pPr>
    </w:p>
    <w:p w14:paraId="2DAE7A32" w14:textId="1344E13D" w:rsidR="0024291D" w:rsidRPr="00645C6F" w:rsidRDefault="008A7299" w:rsidP="00A75EBC">
      <w:pPr>
        <w:pStyle w:val="Ttulo1"/>
      </w:pPr>
      <w:r w:rsidRPr="00645C6F">
        <w:t>Cálculo del VEP</w:t>
      </w:r>
    </w:p>
    <w:p w14:paraId="65875140" w14:textId="59F555C5" w:rsidR="008A7299" w:rsidRDefault="008A7299" w:rsidP="00A75EBC"/>
    <w:p w14:paraId="33E8438E" w14:textId="13DB5557" w:rsidR="008A7299" w:rsidRDefault="00E22EB0" w:rsidP="00A75EBC">
      <w:r>
        <w:t xml:space="preserve">Para el cálculo del </w:t>
      </w:r>
      <m:oMath>
        <m:r>
          <w:rPr>
            <w:rFonts w:ascii="Cambria Math" w:hAnsi="Cambria Math"/>
            <w:lang w:val="en-US"/>
          </w:rPr>
          <m:t>VEP</m:t>
        </m:r>
      </m:oMath>
      <w:r w:rsidR="00695554">
        <w:t xml:space="preserve"> </w:t>
      </w:r>
      <w:r w:rsidR="00421B98">
        <w:t xml:space="preserve">en todos los seis escenarios de choque de tasa de interés </w:t>
      </w:r>
      <w:r w:rsidR="00651FDA">
        <w:t xml:space="preserve">la entidad debe </w:t>
      </w:r>
      <w:r w:rsidR="00695554">
        <w:t xml:space="preserve">adicionar </w:t>
      </w:r>
      <w:r w:rsidR="000046AD">
        <w:t xml:space="preserve">el </w:t>
      </w:r>
      <w:r w:rsidR="000046AD" w:rsidRPr="00610BFB">
        <w:t>componente KAO</w:t>
      </w:r>
      <w:r w:rsidRPr="00610BFB">
        <w:t xml:space="preserve"> </w:t>
      </w:r>
      <w:r w:rsidR="00DF63E0" w:rsidRPr="00610BFB">
        <w:t>con l</w:t>
      </w:r>
      <w:r w:rsidR="00651FDA" w:rsidRPr="00610BFB">
        <w:t>os flujos de l</w:t>
      </w:r>
      <w:r w:rsidR="00DF63E0" w:rsidRPr="00610BFB">
        <w:t xml:space="preserve">as </w:t>
      </w:r>
      <w:r w:rsidR="00651FDA" w:rsidRPr="00610BFB">
        <w:t>ex</w:t>
      </w:r>
      <w:r w:rsidR="00DF63E0" w:rsidRPr="00610BFB">
        <w:t xml:space="preserve">posiciones significativas </w:t>
      </w:r>
      <w:r w:rsidR="00651FDA" w:rsidRPr="00610BFB">
        <w:t>expuestas al RTILB</w:t>
      </w:r>
      <w:r w:rsidR="00DF63E0">
        <w:t xml:space="preserve">, </w:t>
      </w:r>
      <w:r w:rsidR="00695554">
        <w:t>siguiendo los pasos que se definen a continuación</w:t>
      </w:r>
      <w:r>
        <w:t>:</w:t>
      </w:r>
    </w:p>
    <w:p w14:paraId="0EF2AF79" w14:textId="77777777" w:rsidR="00E22EB0" w:rsidRPr="00842482" w:rsidRDefault="00E22EB0" w:rsidP="00A75EBC"/>
    <w:p w14:paraId="2B7B1AAC" w14:textId="619FCF50" w:rsidR="00DE2C81" w:rsidRPr="00842482" w:rsidRDefault="00DE2C81" w:rsidP="00B81B30">
      <w:pPr>
        <w:pStyle w:val="Prrafodelista"/>
        <w:numPr>
          <w:ilvl w:val="0"/>
          <w:numId w:val="21"/>
        </w:numPr>
      </w:pPr>
      <w:r w:rsidRPr="00842482">
        <w:t>Bajo cada escenario</w:t>
      </w:r>
      <w:r w:rsidR="00711612" w:rsidRPr="00842482">
        <w:t xml:space="preserve"> de tasa de interés</w:t>
      </w:r>
      <w:r w:rsidRPr="00842482">
        <w:t xml:space="preserve"> todos los flujos de caja (</w:t>
      </w:r>
      <m:oMath>
        <m:r>
          <w:rPr>
            <w:rFonts w:ascii="Cambria Math" w:hAnsi="Cambria Math"/>
          </w:rPr>
          <m:t>FC (</m:t>
        </m:r>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m:t>
        </m:r>
      </m:oMath>
      <w:r w:rsidRPr="00842482">
        <w:t xml:space="preserve"> </w:t>
      </w:r>
      <w:r w:rsidR="002B7228">
        <w:t>deben</w:t>
      </w:r>
      <w:r w:rsidRPr="00842482">
        <w:t xml:space="preserve"> incorpora</w:t>
      </w:r>
      <w:r w:rsidR="002B7228">
        <w:t>rse</w:t>
      </w:r>
      <w:r w:rsidRPr="00842482">
        <w:t xml:space="preserve"> en la respectiva franja de tiempo (o punto medio de la franja). Para cada banda (o punto medio) todos los flujos de caja positivos o negativos son neteados para formar una única posición corta o larga.</w:t>
      </w:r>
    </w:p>
    <w:p w14:paraId="2CBAF507" w14:textId="77777777" w:rsidR="00DE2C81" w:rsidRPr="00DE2C81" w:rsidRDefault="00DE2C81" w:rsidP="00A75EBC"/>
    <w:p w14:paraId="1B56DE65" w14:textId="1C2E148D" w:rsidR="00DE2C81" w:rsidRPr="00DE2C81" w:rsidRDefault="00DE2C81" w:rsidP="00B917D7">
      <w:pPr>
        <w:jc w:val="center"/>
      </w:pPr>
      <m:oMathPara>
        <m:oMath>
          <m:r>
            <w:rPr>
              <w:rFonts w:ascii="Cambria Math" w:hAnsi="Cambria Math"/>
            </w:rPr>
            <m:t>FC</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b>
            <m:sSubPr>
              <m:ctrlPr>
                <w:rPr>
                  <w:rFonts w:ascii="Cambria Math" w:hAnsi="Cambria Math"/>
                </w:rPr>
              </m:ctrlPr>
            </m:sSubPr>
            <m:e>
              <m:r>
                <w:rPr>
                  <w:rFonts w:ascii="Cambria Math" w:hAnsi="Cambria Math"/>
                </w:rPr>
                <m:t>FC</m:t>
              </m:r>
            </m:e>
            <m:sub>
              <m: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b>
            <m:sSubPr>
              <m:ctrlPr>
                <w:rPr>
                  <w:rFonts w:ascii="Cambria Math" w:hAnsi="Cambria Math"/>
                </w:rPr>
              </m:ctrlPr>
            </m:sSubPr>
            <m:e>
              <m:r>
                <w:rPr>
                  <w:rFonts w:ascii="Cambria Math" w:hAnsi="Cambria Math"/>
                </w:rPr>
                <m:t>FC</m:t>
              </m:r>
            </m:e>
            <m:sub>
              <m:r>
                <w:rPr>
                  <w:rFonts w:ascii="Cambria Math" w:hAnsi="Cambria Math"/>
                </w:rPr>
                <m:t>P</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m:oMathPara>
    </w:p>
    <w:p w14:paraId="6E9E7BCA" w14:textId="77777777" w:rsidR="00DE2C81" w:rsidRPr="00DE2C81" w:rsidRDefault="00DE2C81" w:rsidP="00A75EBC"/>
    <w:p w14:paraId="50FFEFF0" w14:textId="77777777" w:rsidR="00DE2C81" w:rsidRPr="00DE2C81" w:rsidRDefault="00DE2C81" w:rsidP="00A75EBC">
      <w:r w:rsidRPr="00DE2C81">
        <w:t>Donde:</w:t>
      </w:r>
    </w:p>
    <w:p w14:paraId="05A4B843" w14:textId="77777777" w:rsidR="00DE2C81" w:rsidRPr="00DE2C81" w:rsidRDefault="00E41B2D" w:rsidP="00A75EBC">
      <m:oMath>
        <m:sSub>
          <m:sSubPr>
            <m:ctrlPr>
              <w:rPr>
                <w:rFonts w:ascii="Cambria Math" w:hAnsi="Cambria Math"/>
              </w:rPr>
            </m:ctrlPr>
          </m:sSubPr>
          <m:e>
            <m:r>
              <w:rPr>
                <w:rFonts w:ascii="Cambria Math" w:hAnsi="Cambria Math"/>
              </w:rPr>
              <m:t>FC</m:t>
            </m:r>
          </m:e>
          <m:sub>
            <m: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w:r w:rsidR="00DE2C81" w:rsidRPr="00DE2C81">
        <w:t xml:space="preserve">: flujos de caja de los activos para la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oMath>
    </w:p>
    <w:p w14:paraId="1B3D8F4D" w14:textId="77777777" w:rsidR="00DE2C81" w:rsidRPr="00DE2C81" w:rsidRDefault="00E41B2D" w:rsidP="00A75EBC">
      <m:oMath>
        <m:sSub>
          <m:sSubPr>
            <m:ctrlPr>
              <w:rPr>
                <w:rFonts w:ascii="Cambria Math" w:hAnsi="Cambria Math"/>
              </w:rPr>
            </m:ctrlPr>
          </m:sSubPr>
          <m:e>
            <m:r>
              <w:rPr>
                <w:rFonts w:ascii="Cambria Math" w:hAnsi="Cambria Math"/>
              </w:rPr>
              <m:t>FC</m:t>
            </m:r>
          </m:e>
          <m:sub>
            <m:r>
              <w:rPr>
                <w:rFonts w:ascii="Cambria Math" w:hAnsi="Cambria Math"/>
              </w:rPr>
              <m:t>P</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oMath>
      <w:r w:rsidR="00DE2C81" w:rsidRPr="00DE2C81">
        <w:t xml:space="preserve">: flujos de caja de los pasivos para la banda de tiempo </w:t>
      </w:r>
      <m:oMath>
        <m:sSub>
          <m:sSubPr>
            <m:ctrlPr>
              <w:rPr>
                <w:rFonts w:ascii="Cambria Math" w:hAnsi="Cambria Math"/>
              </w:rPr>
            </m:ctrlPr>
          </m:sSubPr>
          <m:e>
            <m:r>
              <w:rPr>
                <w:rFonts w:ascii="Cambria Math" w:hAnsi="Cambria Math"/>
              </w:rPr>
              <m:t>t</m:t>
            </m:r>
          </m:e>
          <m:sub>
            <m:r>
              <w:rPr>
                <w:rFonts w:ascii="Cambria Math" w:hAnsi="Cambria Math"/>
              </w:rPr>
              <m:t>k</m:t>
            </m:r>
          </m:sub>
        </m:sSub>
      </m:oMath>
    </w:p>
    <w:p w14:paraId="23AF2FDA" w14:textId="77777777" w:rsidR="00DE2C81" w:rsidRPr="00DE2C81" w:rsidRDefault="00DE2C81" w:rsidP="00A75EBC"/>
    <w:p w14:paraId="12CB7E7D" w14:textId="00BBECD1" w:rsidR="00DE2C81" w:rsidRPr="00842482" w:rsidRDefault="00DE2C81" w:rsidP="00325463">
      <w:pPr>
        <w:pStyle w:val="Prrafodelista"/>
        <w:numPr>
          <w:ilvl w:val="0"/>
          <w:numId w:val="21"/>
        </w:numPr>
        <w:ind w:left="284" w:hanging="284"/>
      </w:pPr>
      <w:r w:rsidRPr="00842482">
        <w:t xml:space="preserve">Los flujos de caja netos en cada banda de tiempo (o punto medio) </w:t>
      </w:r>
      <w:r w:rsidR="006B0506">
        <w:t xml:space="preserve">se deben </w:t>
      </w:r>
      <w:r w:rsidRPr="00842482">
        <w:t>pondera</w:t>
      </w:r>
      <w:r w:rsidR="006B0506">
        <w:t xml:space="preserve">r </w:t>
      </w:r>
      <w:r w:rsidRPr="00842482">
        <w:t>por un factor de descuento compuesto continu</w:t>
      </w:r>
      <w:r w:rsidR="00E05138">
        <w:t>o</w:t>
      </w:r>
      <w:r w:rsidR="00540EC2">
        <w:t xml:space="preserve">, </w:t>
      </w:r>
      <w:r w:rsidR="004742B0">
        <w:t xml:space="preserve">que refleja el escenario de tasas de interés i para la moneda correspondiente de </w:t>
      </w:r>
      <w:r w:rsidR="00023E19">
        <w:t xml:space="preserve">acuerdo con </w:t>
      </w:r>
      <w:r w:rsidR="000B71E9">
        <w:t xml:space="preserve">los choques del </w:t>
      </w:r>
      <w:proofErr w:type="spellStart"/>
      <w:r w:rsidR="004F1F0B">
        <w:t>sub</w:t>
      </w:r>
      <w:r w:rsidR="000B71E9">
        <w:t>numeral</w:t>
      </w:r>
      <w:proofErr w:type="spellEnd"/>
      <w:r w:rsidR="000B71E9">
        <w:t xml:space="preserve"> 1.3. Este</w:t>
      </w:r>
      <w:r w:rsidRPr="00842482">
        <w:t xml:space="preserve"> flujo de caja debe ser descontado utilizando una </w:t>
      </w:r>
      <w:r w:rsidR="008B1370">
        <w:t>curva</w:t>
      </w:r>
      <w:r w:rsidRPr="00842482">
        <w:t xml:space="preserve"> de interés </w:t>
      </w:r>
      <w:proofErr w:type="gramStart"/>
      <w:r w:rsidR="000B3B7C">
        <w:t>cero cupón</w:t>
      </w:r>
      <w:proofErr w:type="gramEnd"/>
      <w:r w:rsidR="00BC3507">
        <w:t>,</w:t>
      </w:r>
      <w:r w:rsidR="000B3B7C" w:rsidRPr="00842482">
        <w:t xml:space="preserve"> </w:t>
      </w:r>
      <w:r w:rsidRPr="00842482">
        <w:t>libre de riesgo</w:t>
      </w:r>
      <w:r w:rsidR="008B1370">
        <w:t xml:space="preserve"> </w:t>
      </w:r>
      <w:r w:rsidR="00BB3814">
        <w:t>correspondiente a cada moneda</w:t>
      </w:r>
      <w:r w:rsidR="000B71E9">
        <w:t>, como se describe en la siguiente fórmula</w:t>
      </w:r>
      <w:r w:rsidRPr="00842482">
        <w:t>.</w:t>
      </w:r>
    </w:p>
    <w:p w14:paraId="23C02F0B" w14:textId="77777777" w:rsidR="00DE2C81" w:rsidRPr="00DE2C81" w:rsidRDefault="00DE2C81" w:rsidP="00A75EBC"/>
    <w:p w14:paraId="1ED9843A" w14:textId="77777777" w:rsidR="00DE2C81" w:rsidRPr="00DE2C81" w:rsidRDefault="00E41B2D" w:rsidP="00A75EBC">
      <w:pPr>
        <w:rPr>
          <w:rFonts w:eastAsiaTheme="minorEastAsia"/>
        </w:rPr>
      </w:pPr>
      <m:oMathPara>
        <m:oMath>
          <m:sSub>
            <m:sSubPr>
              <m:ctrlPr>
                <w:rPr>
                  <w:rFonts w:ascii="Cambria Math" w:hAnsi="Cambria Math"/>
                </w:rPr>
              </m:ctrlPr>
            </m:sSubPr>
            <m:e>
              <m:r>
                <w:rPr>
                  <w:rFonts w:ascii="Cambria Math" w:hAnsi="Cambria Math"/>
                </w:rPr>
                <m:t>FD</m:t>
              </m:r>
            </m:e>
            <m:sub>
              <m:r>
                <w:rPr>
                  <w:rFonts w:ascii="Cambria Math" w:hAnsi="Cambria Math"/>
                </w:rPr>
                <m:t>i</m:t>
              </m:r>
              <m:r>
                <m:rPr>
                  <m:sty m:val="p"/>
                </m:rPr>
                <w:rPr>
                  <w:rFonts w:ascii="Cambria Math" w:hAnsi="Cambria Math"/>
                </w:rPr>
                <m:t xml:space="preserve"> </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hAnsi="Cambria Math"/>
            </w:rPr>
            <m:t>)</m:t>
          </m:r>
          <m:r>
            <m:rPr>
              <m:sty m:val="p"/>
            </m:rPr>
            <w:rPr>
              <w:rFonts w:ascii="Cambria Math" w:hAnsi="Cambria Math"/>
              <w:lang w:val="en-US"/>
            </w:rPr>
            <m:t>=</m:t>
          </m:r>
          <m:func>
            <m:funcPr>
              <m:ctrlPr>
                <w:rPr>
                  <w:rFonts w:ascii="Cambria Math" w:hAnsi="Cambria Math"/>
                </w:rPr>
              </m:ctrlPr>
            </m:funcPr>
            <m:fName>
              <m:r>
                <m:rPr>
                  <m:sty m:val="p"/>
                </m:rPr>
                <w:rPr>
                  <w:rFonts w:ascii="Cambria Math" w:hAnsi="Cambria Math"/>
                </w:rPr>
                <m:t>exp</m:t>
              </m:r>
            </m:fName>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m:rPr>
                  <m:sty m:val="p"/>
                </m:rPr>
                <w:rPr>
                  <w:rFonts w:ascii="Cambria Math" w:hAnsi="Cambria Math"/>
                </w:rPr>
                <m:t xml:space="preserve">)    </m:t>
              </m:r>
            </m:e>
          </m:func>
        </m:oMath>
      </m:oMathPara>
    </w:p>
    <w:p w14:paraId="19B266A3" w14:textId="77777777" w:rsidR="00DE2C81" w:rsidRPr="00DE2C81" w:rsidRDefault="00DE2C81" w:rsidP="00A75EBC">
      <w:pPr>
        <w:rPr>
          <w:b/>
        </w:rPr>
      </w:pPr>
      <w:r w:rsidRPr="00DE2C81">
        <w:t>Donde:</w:t>
      </w:r>
    </w:p>
    <w:p w14:paraId="6C182C37" w14:textId="00403971" w:rsidR="00DE2C81" w:rsidRPr="00DE2C81" w:rsidRDefault="00DE2C81" w:rsidP="00A75EBC"/>
    <w:p w14:paraId="7665323D" w14:textId="582AA5B4" w:rsidR="00DE2C81" w:rsidRPr="00DE2C81" w:rsidRDefault="00DE2C81" w:rsidP="00A75EBC">
      <m:oMath>
        <m:r>
          <w:rPr>
            <w:rFonts w:ascii="Cambria Math" w:hAnsi="Cambria Math"/>
          </w:rPr>
          <m:t>FD</m:t>
        </m:r>
      </m:oMath>
      <w:r w:rsidRPr="00DE2C81">
        <w:t>: factor de descuento</w:t>
      </w:r>
      <w:r w:rsidR="000B71E9">
        <w:t>.</w:t>
      </w:r>
    </w:p>
    <w:p w14:paraId="23453C88" w14:textId="3CDD7F3B" w:rsidR="00DE2C81" w:rsidRPr="00DE2C81" w:rsidRDefault="00E41B2D" w:rsidP="00A75EBC">
      <w:pPr>
        <w:rPr>
          <w:rFonts w:eastAsia="Times New Roman"/>
        </w:rPr>
      </w:pPr>
      <m:oMath>
        <m:sSub>
          <m:sSubPr>
            <m:ctrlPr>
              <w:rPr>
                <w:rFonts w:ascii="Cambria Math" w:eastAsia="Times New Roman" w:hAnsi="Cambria Math"/>
                <w:i/>
              </w:rPr>
            </m:ctrlPr>
          </m:sSubPr>
          <m:e>
            <m:r>
              <w:rPr>
                <w:rFonts w:ascii="Cambria Math" w:eastAsia="Times New Roman" w:hAnsi="Cambria Math"/>
              </w:rPr>
              <m:t>R</m:t>
            </m:r>
          </m:e>
          <m:sub>
            <m:r>
              <w:rPr>
                <w:rFonts w:ascii="Cambria Math" w:eastAsia="Times New Roman" w:hAnsi="Cambria Math"/>
              </w:rPr>
              <m:t>i</m:t>
            </m:r>
          </m:sub>
        </m:sSub>
      </m:oMath>
      <w:r w:rsidR="00DE2C81" w:rsidRPr="00DE2C81">
        <w:t>: tasa libre de riesgo para el escenario</w:t>
      </w:r>
      <w:r w:rsidR="00023E19">
        <w:t xml:space="preserve"> de tasa de interés</w:t>
      </w:r>
      <w:r w:rsidR="00DE2C81" w:rsidRPr="00DE2C81">
        <w:t xml:space="preserve"> </w:t>
      </w:r>
      <m:oMath>
        <m:r>
          <w:rPr>
            <w:rFonts w:ascii="Cambria Math" w:hAnsi="Cambria Math"/>
          </w:rPr>
          <m:t>i</m:t>
        </m:r>
      </m:oMath>
      <w:r w:rsidR="000B71E9">
        <w:t>.</w:t>
      </w:r>
    </w:p>
    <w:p w14:paraId="322FF650" w14:textId="6901F5F2" w:rsidR="00DE2C81" w:rsidRPr="00DE2C81" w:rsidRDefault="00E41B2D" w:rsidP="00A75EBC">
      <m:oMath>
        <m:sSub>
          <m:sSubPr>
            <m:ctrlPr>
              <w:rPr>
                <w:rFonts w:ascii="Cambria Math" w:eastAsia="Times New Roman" w:hAnsi="Cambria Math"/>
                <w:i/>
              </w:rPr>
            </m:ctrlPr>
          </m:sSubPr>
          <m:e>
            <m:r>
              <w:rPr>
                <w:rFonts w:ascii="Cambria Math" w:eastAsia="Times New Roman" w:hAnsi="Cambria Math"/>
              </w:rPr>
              <m:t>t</m:t>
            </m:r>
          </m:e>
          <m:sub>
            <m:r>
              <w:rPr>
                <w:rFonts w:ascii="Cambria Math" w:eastAsia="Times New Roman" w:hAnsi="Cambria Math"/>
              </w:rPr>
              <m:t>k</m:t>
            </m:r>
          </m:sub>
        </m:sSub>
      </m:oMath>
      <w:r w:rsidR="00DE2C81" w:rsidRPr="00DE2C81">
        <w:t>: punto medio para cada franja de tiempo (</w:t>
      </w:r>
      <m:oMath>
        <m:r>
          <w:rPr>
            <w:rFonts w:ascii="Cambria Math" w:hAnsi="Cambria Math"/>
          </w:rPr>
          <m:t>k</m:t>
        </m:r>
      </m:oMath>
      <w:r w:rsidR="00DE2C81" w:rsidRPr="00DE2C81">
        <w:t>)</w:t>
      </w:r>
      <w:r w:rsidR="000B71E9">
        <w:t>.</w:t>
      </w:r>
    </w:p>
    <w:p w14:paraId="75092AC9" w14:textId="0E6E960B" w:rsidR="00DE2C81" w:rsidRPr="00DE2C81" w:rsidRDefault="00DE2C81" w:rsidP="00A75EBC">
      <m:oMath>
        <m:r>
          <w:rPr>
            <w:rFonts w:ascii="Cambria Math" w:eastAsia="Times New Roman" w:hAnsi="Cambria Math"/>
          </w:rPr>
          <m:t>i:</m:t>
        </m:r>
      </m:oMath>
      <w:r w:rsidRPr="00DE2C81">
        <w:t xml:space="preserve"> escenario</w:t>
      </w:r>
      <w:r w:rsidR="000B71E9">
        <w:t xml:space="preserve"> de choque de tasa de interés para la moneda correspondiente.</w:t>
      </w:r>
    </w:p>
    <w:p w14:paraId="7BBB450C" w14:textId="55AC2CD1" w:rsidR="00DE2C81" w:rsidRDefault="00DE2C81" w:rsidP="00A75EBC"/>
    <w:p w14:paraId="70B8D36C" w14:textId="77777777" w:rsidR="006E01E7" w:rsidRDefault="006E01E7" w:rsidP="00A75EBC"/>
    <w:p w14:paraId="5A54CA14" w14:textId="1515EB95" w:rsidR="00DE2C81" w:rsidRPr="00DE2C81" w:rsidRDefault="006E01E7" w:rsidP="00325463">
      <w:pPr>
        <w:pStyle w:val="Prrafodelista"/>
        <w:numPr>
          <w:ilvl w:val="0"/>
          <w:numId w:val="21"/>
        </w:numPr>
        <w:ind w:left="284" w:hanging="284"/>
      </w:pPr>
      <w:r>
        <w:rPr>
          <w:rFonts w:eastAsiaTheme="minorEastAsia"/>
          <w:noProof/>
          <w:lang w:val="en-US"/>
        </w:rPr>
        <w:lastRenderedPageBreak/>
        <mc:AlternateContent>
          <mc:Choice Requires="wps">
            <w:drawing>
              <wp:anchor distT="0" distB="0" distL="114300" distR="114300" simplePos="0" relativeHeight="251667456" behindDoc="0" locked="0" layoutInCell="1" allowOverlap="1" wp14:anchorId="7A8D716D" wp14:editId="7A590F63">
                <wp:simplePos x="0" y="0"/>
                <wp:positionH relativeFrom="column">
                  <wp:posOffset>-85090</wp:posOffset>
                </wp:positionH>
                <wp:positionV relativeFrom="paragraph">
                  <wp:posOffset>-13112</wp:posOffset>
                </wp:positionV>
                <wp:extent cx="0" cy="9984402"/>
                <wp:effectExtent l="0" t="0" r="38100" b="36195"/>
                <wp:wrapNone/>
                <wp:docPr id="12" name="Conector recto 12"/>
                <wp:cNvGraphicFramePr/>
                <a:graphic xmlns:a="http://schemas.openxmlformats.org/drawingml/2006/main">
                  <a:graphicData uri="http://schemas.microsoft.com/office/word/2010/wordprocessingShape">
                    <wps:wsp>
                      <wps:cNvCnPr/>
                      <wps:spPr>
                        <a:xfrm flipH="1">
                          <a:off x="0" y="0"/>
                          <a:ext cx="0" cy="998440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9DBDEF" id="Conector recto 1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pt,-1.05pt" to="-6.7pt,7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" strokecolor="black [3200]" strokeweight=".5pt">
                <v:stroke joinstyle="miter"/>
              </v:line>
            </w:pict>
          </mc:Fallback>
        </mc:AlternateContent>
      </w:r>
      <w:r w:rsidR="00DE2C81">
        <w:t xml:space="preserve">Las </w:t>
      </w:r>
      <w:r w:rsidR="006B0506">
        <w:t>ex</w:t>
      </w:r>
      <w:r w:rsidR="00DE2C81">
        <w:t>posiciones netas ponderadas por riesgo s</w:t>
      </w:r>
      <w:r w:rsidR="006B0506">
        <w:t xml:space="preserve">e deben </w:t>
      </w:r>
      <w:r w:rsidR="00DE2C81">
        <w:t>suma</w:t>
      </w:r>
      <w:r w:rsidR="006B0506">
        <w:t xml:space="preserve">r </w:t>
      </w:r>
      <w:r w:rsidR="00DE2C81">
        <w:t>para determinar el VEP bajo cada escenario (excluyendo las posiciones de opciones de tasas de interés automáticas).</w:t>
      </w:r>
    </w:p>
    <w:p w14:paraId="45EBE14D" w14:textId="1CCA5D1A" w:rsidR="00DE2C81" w:rsidRPr="00B15D45" w:rsidRDefault="00DE2C81" w:rsidP="00A75EBC"/>
    <w:p w14:paraId="052F26F6" w14:textId="28B51AAE" w:rsidR="00DE2C81" w:rsidRPr="00DE2C81" w:rsidRDefault="00E41B2D" w:rsidP="1A64318C">
      <w:pPr>
        <w:jc w:val="center"/>
        <w:rPr>
          <w:lang w:val="en-US"/>
        </w:rPr>
      </w:pPr>
      <m:oMathPara>
        <m:oMath>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r>
                <w:rPr>
                  <w:rFonts w:ascii="Cambria Math" w:hAnsi="Cambria Math"/>
                  <w:lang w:val="en-US"/>
                </w:rPr>
                <m:t>F</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Ai</m:t>
                  </m:r>
                  <m:r>
                    <m:rPr>
                      <m:sty m:val="p"/>
                    </m:rPr>
                    <w:rPr>
                      <w:rFonts w:ascii="Cambria Math" w:hAnsi="Cambria Math"/>
                      <w:lang w:val="en-US"/>
                    </w:rPr>
                    <m:t>,</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r>
                <w:rPr>
                  <w:rFonts w:ascii="Cambria Math" w:hAnsi="Cambria Math"/>
                  <w:lang w:val="en-US"/>
                </w:rPr>
                <m:t>F</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Pi</m:t>
                  </m:r>
                  <m:r>
                    <m:rPr>
                      <m:sty m:val="p"/>
                    </m:rPr>
                    <w:rPr>
                      <w:rFonts w:ascii="Cambria Math" w:hAnsi="Cambria Math"/>
                      <w:lang w:val="en-US"/>
                    </w:rPr>
                    <m:t>,</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oMath>
      </m:oMathPara>
    </w:p>
    <w:p w14:paraId="7CF652A0" w14:textId="60B82FFD" w:rsidR="00DE2C81" w:rsidRPr="00DE2C81" w:rsidRDefault="00DE2C81" w:rsidP="00A75EBC">
      <w:pPr>
        <w:rPr>
          <w:lang w:val="en-US"/>
        </w:rPr>
      </w:pPr>
    </w:p>
    <w:p w14:paraId="10CCCB39" w14:textId="48DB1153" w:rsidR="00DE2C81" w:rsidRPr="00B15D45" w:rsidRDefault="00E41B2D" w:rsidP="00A75EBC">
      <w:pPr>
        <w:rPr>
          <w:rFonts w:eastAsiaTheme="minorEastAsia"/>
          <w:lang w:val="en-US"/>
        </w:rPr>
      </w:pPr>
      <m:oMathPara>
        <m:oMath>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rPr>
            <m:t xml:space="preserve">= </m:t>
          </m:r>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r>
                <m:rPr>
                  <m:sty m:val="p"/>
                </m:rPr>
                <w:rPr>
                  <w:rFonts w:ascii="Cambria Math" w:hAnsi="Cambria Math"/>
                  <w:lang w:val="en-US"/>
                </w:rPr>
                <m:t>,</m:t>
              </m:r>
              <m:r>
                <w:rPr>
                  <w:rFonts w:ascii="Cambria Math" w:hAnsi="Cambria Math"/>
                  <w:lang w:val="en-US"/>
                </w:rPr>
                <m:t>A</m:t>
              </m:r>
            </m:sub>
            <m:sup>
              <m:r>
                <m:rPr>
                  <m:sty m:val="p"/>
                </m:rPr>
                <w:rPr>
                  <w:rFonts w:ascii="Cambria Math" w:hAnsi="Cambria Math"/>
                  <w:lang w:val="en-US"/>
                </w:rPr>
                <m:t>excl. KAO</m:t>
              </m:r>
            </m:sup>
          </m:sSubSup>
          <m:r>
            <m:rPr>
              <m:sty m:val="p"/>
            </m:rPr>
            <w:rPr>
              <w:rFonts w:ascii="Cambria Math" w:hAnsi="Cambria Math"/>
            </w:rPr>
            <m:t>-</m:t>
          </m:r>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r>
                <m:rPr>
                  <m:sty m:val="p"/>
                </m:rPr>
                <w:rPr>
                  <w:rFonts w:ascii="Cambria Math" w:hAnsi="Cambria Math"/>
                  <w:lang w:val="en-US"/>
                </w:rPr>
                <m:t>,</m:t>
              </m:r>
              <m:r>
                <w:rPr>
                  <w:rFonts w:ascii="Cambria Math" w:hAnsi="Cambria Math"/>
                  <w:lang w:val="en-US"/>
                </w:rPr>
                <m:t>P</m:t>
              </m:r>
            </m:sub>
            <m:sup>
              <m:r>
                <m:rPr>
                  <m:sty m:val="p"/>
                </m:rPr>
                <w:rPr>
                  <w:rFonts w:ascii="Cambria Math" w:hAnsi="Cambria Math"/>
                  <w:lang w:val="en-US"/>
                </w:rPr>
                <m:t>excl. KAO</m:t>
              </m:r>
            </m:sup>
          </m:sSubSup>
        </m:oMath>
      </m:oMathPara>
    </w:p>
    <w:p w14:paraId="173466A9" w14:textId="1A8916CC" w:rsidR="00B15D45" w:rsidRDefault="00E41B2D" w:rsidP="00A75EBC">
      <w:pPr>
        <w:rPr>
          <w:rFonts w:eastAsiaTheme="minorEastAsia"/>
          <w:lang w:val="en-US"/>
        </w:rPr>
      </w:pPr>
      <m:oMathPara>
        <m:oMath>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r>
                <w:rPr>
                  <w:rFonts w:ascii="Cambria Math" w:hAnsi="Cambria Math"/>
                  <w:lang w:val="en-US"/>
                </w:rPr>
                <m:t>F</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i</m:t>
                  </m:r>
                  <m:r>
                    <m:rPr>
                      <m:sty m:val="p"/>
                    </m:rPr>
                    <w:rPr>
                      <w:rFonts w:ascii="Cambria Math" w:hAnsi="Cambria Math"/>
                      <w:lang w:val="en-US"/>
                    </w:rPr>
                    <m:t>,</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oMath>
      </m:oMathPara>
    </w:p>
    <w:p w14:paraId="6B8E0C1B" w14:textId="1A1C8297" w:rsidR="00B15D45" w:rsidRPr="006645FE" w:rsidRDefault="00B15D45" w:rsidP="00B15D45">
      <w:pPr>
        <w:rPr>
          <w:rFonts w:eastAsiaTheme="minorEastAsia"/>
          <w:lang w:val="en-US"/>
        </w:rPr>
      </w:pPr>
    </w:p>
    <w:p w14:paraId="43734625" w14:textId="77777777" w:rsidR="00B15D45" w:rsidRPr="00DE2C81" w:rsidRDefault="00E41B2D" w:rsidP="00B15D45">
      <w:pPr>
        <w:ind w:firstLine="708"/>
      </w:pPr>
      <m:oMath>
        <m:sSubSup>
          <m:sSubSupPr>
            <m:ctrlPr>
              <w:rPr>
                <w:rFonts w:ascii="Cambria Math" w:eastAsiaTheme="minorEastAsia" w:hAnsi="Cambria Math"/>
                <w:i/>
                <w:lang w:val="en-US"/>
              </w:rPr>
            </m:ctrlPr>
          </m:sSubSupPr>
          <m:e>
            <m:r>
              <w:rPr>
                <w:rFonts w:ascii="Cambria Math" w:eastAsiaTheme="minorEastAsia" w:hAnsi="Cambria Math"/>
                <w:lang w:val="en-US"/>
              </w:rPr>
              <m:t>VEP</m:t>
            </m:r>
          </m:e>
          <m:sub>
            <m:r>
              <w:rPr>
                <w:rFonts w:ascii="Cambria Math" w:eastAsiaTheme="minorEastAsia" w:hAnsi="Cambria Math"/>
                <w:lang w:val="en-US"/>
              </w:rPr>
              <m:t>i</m:t>
            </m:r>
          </m:sub>
          <m:sup>
            <m:r>
              <m:rPr>
                <m:sty m:val="p"/>
              </m:rPr>
              <w:rPr>
                <w:rFonts w:ascii="Cambria Math" w:eastAsiaTheme="minorEastAsia" w:hAnsi="Cambria Math"/>
              </w:rPr>
              <m:t>excl. KAO</m:t>
            </m:r>
          </m:sup>
        </m:sSubSup>
        <m:r>
          <w:rPr>
            <w:rFonts w:ascii="Cambria Math" w:hAnsi="Cambria Math"/>
          </w:rPr>
          <m:t>:</m:t>
        </m:r>
      </m:oMath>
      <w:r w:rsidR="00B15D45" w:rsidRPr="00DE2C81">
        <w:t xml:space="preserve"> Valor económico del patrimonio</w:t>
      </w:r>
      <w:r w:rsidR="00B15D45">
        <w:t xml:space="preserve"> (sin incluir opciones automáticas)</w:t>
      </w:r>
    </w:p>
    <w:p w14:paraId="3856C74B" w14:textId="77777777" w:rsidR="00B15D45" w:rsidRPr="00DE2C81" w:rsidRDefault="00B15D45" w:rsidP="00B15D45">
      <w:pPr>
        <w:ind w:firstLine="708"/>
        <w:rPr>
          <w:rFonts w:eastAsiaTheme="minorEastAsia"/>
        </w:rPr>
      </w:pPr>
      <m:oMath>
        <m:r>
          <w:rPr>
            <w:rFonts w:ascii="Cambria Math" w:hAnsi="Cambria Math"/>
          </w:rPr>
          <m:t>FC</m:t>
        </m:r>
      </m:oMath>
      <w:r w:rsidRPr="00DE2C81">
        <w:t>: Flujo de caja</w:t>
      </w:r>
      <w:r w:rsidRPr="00DE2C81">
        <w:rPr>
          <w:rFonts w:eastAsiaTheme="minorEastAsia"/>
        </w:rPr>
        <w:tab/>
      </w:r>
    </w:p>
    <w:p w14:paraId="183C5D10" w14:textId="77777777" w:rsidR="00B15D45" w:rsidRPr="00DE2C81" w:rsidRDefault="00B15D45" w:rsidP="00A75EBC">
      <w:pPr>
        <w:rPr>
          <w:lang w:val="en-US"/>
        </w:rPr>
      </w:pPr>
    </w:p>
    <w:p w14:paraId="7389A4A3" w14:textId="69F1B756" w:rsidR="00DE2C81" w:rsidRPr="00DE2C81" w:rsidRDefault="000046AD" w:rsidP="00325463">
      <w:pPr>
        <w:pStyle w:val="Prrafodelista"/>
        <w:numPr>
          <w:ilvl w:val="0"/>
          <w:numId w:val="21"/>
        </w:numPr>
        <w:ind w:left="284" w:hanging="284"/>
      </w:pPr>
      <w:r>
        <w:t>E</w:t>
      </w:r>
      <w:r w:rsidR="00DE2C81" w:rsidRPr="00DE2C81">
        <w:t>l cambio completo en el VEP para cada escenario</w:t>
      </w:r>
      <w:r w:rsidR="00BA090B">
        <w:t xml:space="preserve"> i</w:t>
      </w:r>
      <w:r w:rsidR="00DE2C81" w:rsidRPr="00DE2C81">
        <w:t xml:space="preserve"> y moneda</w:t>
      </w:r>
      <w:r w:rsidR="007A5996">
        <w:t xml:space="preserve"> </w:t>
      </w:r>
      <m:oMath>
        <m:r>
          <w:rPr>
            <w:rFonts w:ascii="Cambria Math" w:hAnsi="Cambria Math"/>
          </w:rPr>
          <m:t>c</m:t>
        </m:r>
      </m:oMath>
      <w:r w:rsidR="00DE2C81" w:rsidRPr="00DE2C81">
        <w:t xml:space="preserve"> </w:t>
      </w:r>
      <w:r w:rsidR="006B0506">
        <w:t>s</w:t>
      </w:r>
      <w:r w:rsidR="00DE2C81" w:rsidRPr="00DE2C81">
        <w:t>e</w:t>
      </w:r>
      <w:r w:rsidR="006B0506">
        <w:t xml:space="preserve"> determina </w:t>
      </w:r>
      <w:r w:rsidR="00DE2C81" w:rsidRPr="00DE2C81">
        <w:t>restando el resultado base del VEP bajo la curva de rendimiento actual</w:t>
      </w:r>
      <w:r w:rsidR="00354EEA">
        <w:t xml:space="preserve">, </w:t>
      </w:r>
      <w:r w:rsidR="00FF4F58">
        <w:t>escenario base</w:t>
      </w:r>
      <w:r w:rsidR="00354EEA">
        <w:t>,</w:t>
      </w:r>
      <w:r w:rsidR="00DE2C81" w:rsidRPr="00DE2C81">
        <w:t xml:space="preserve"> y agregando el riesgo de </w:t>
      </w:r>
      <w:r w:rsidR="006B0506">
        <w:t xml:space="preserve">las </w:t>
      </w:r>
      <w:r w:rsidR="00DE2C81" w:rsidRPr="00DE2C81">
        <w:t>opciones automáticas de tasas de interés.</w:t>
      </w:r>
    </w:p>
    <w:p w14:paraId="027DEDCA" w14:textId="77777777" w:rsidR="00DE2C81" w:rsidRPr="00DE2C81" w:rsidRDefault="00DE2C81" w:rsidP="00A75EBC"/>
    <w:p w14:paraId="34181981" w14:textId="7B06FB27" w:rsidR="00DE2C81" w:rsidRPr="00DE2C81" w:rsidRDefault="00E41B2D" w:rsidP="00A75EBC">
      <m:oMathPara>
        <m:oMath>
          <m:sSubSup>
            <m:sSubSupPr>
              <m:ctrlPr>
                <w:rPr>
                  <w:rFonts w:ascii="Cambria Math" w:hAnsi="Cambria Math"/>
                  <w:lang w:val="en-US"/>
                </w:rPr>
              </m:ctrlPr>
            </m:sSubSup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rPr>
            <m:t xml:space="preserve">= </m:t>
          </m:r>
          <m:sSubSup>
            <m:sSubSupPr>
              <m:ctrlPr>
                <w:rPr>
                  <w:rFonts w:ascii="Cambria Math" w:hAnsi="Cambria Math"/>
                  <w:lang w:val="en-US"/>
                </w:rPr>
              </m:ctrlPr>
            </m:sSubSupPr>
            <m:e>
              <m:r>
                <w:rPr>
                  <w:rFonts w:ascii="Cambria Math" w:hAnsi="Cambria Math"/>
                  <w:lang w:val="en-US"/>
                </w:rPr>
                <m:t>VEP</m:t>
              </m:r>
            </m:e>
            <m:sub>
              <m:r>
                <m:rPr>
                  <m:sty m:val="p"/>
                </m:rPr>
                <w:rPr>
                  <w:rFonts w:ascii="Cambria Math" w:hAnsi="Cambria Math"/>
                  <w:lang w:val="en-US"/>
                </w:rPr>
                <m:t>0</m:t>
              </m:r>
            </m:sub>
            <m:sup>
              <m:r>
                <m:rPr>
                  <m:sty m:val="p"/>
                </m:rPr>
                <w:rPr>
                  <w:rFonts w:ascii="Cambria Math" w:hAnsi="Cambria Math"/>
                  <w:lang w:val="en-US"/>
                </w:rPr>
                <m:t>excl. KAO</m:t>
              </m:r>
            </m:sup>
          </m:sSubSup>
          <m:r>
            <m:rPr>
              <m:sty m:val="p"/>
            </m:rPr>
            <w:rPr>
              <w:rFonts w:ascii="Cambria Math" w:hAnsi="Cambria Math"/>
            </w:rPr>
            <m:t>-</m:t>
          </m:r>
          <m:sSubSup>
            <m:sSubSupPr>
              <m:ctrlPr>
                <w:rPr>
                  <w:rFonts w:ascii="Cambria Math" w:hAnsi="Cambria Math"/>
                  <w:lang w:val="en-US"/>
                </w:rPr>
              </m:ctrlPr>
            </m:sSubSupPr>
            <m:e>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oMath>
      </m:oMathPara>
    </w:p>
    <w:p w14:paraId="1B972968" w14:textId="77777777" w:rsidR="00DE2C81" w:rsidRPr="00DE2C81" w:rsidRDefault="00DE2C81" w:rsidP="00A75EBC"/>
    <w:p w14:paraId="111C4676" w14:textId="585FEE72" w:rsidR="00DE2C81" w:rsidRPr="00DE2C81" w:rsidRDefault="00E41B2D" w:rsidP="00A75EBC">
      <w:pPr>
        <w:rPr>
          <w:rFonts w:eastAsia="Times New Roman"/>
        </w:rPr>
      </w:pPr>
      <m:oMathPara>
        <m:oMath>
          <m:sSubSup>
            <m:sSubSupPr>
              <m:ctrlPr>
                <w:rPr>
                  <w:rFonts w:ascii="Cambria Math" w:hAnsi="Cambria Math"/>
                  <w:lang w:val="en-US"/>
                </w:rPr>
              </m:ctrlPr>
            </m:sSubSup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up>
              <m:r>
                <m:rPr>
                  <m:sty m:val="p"/>
                </m:rPr>
                <w:rPr>
                  <w:rFonts w:ascii="Cambria Math" w:hAnsi="Cambria Math"/>
                  <w:lang w:val="en-US"/>
                </w:rPr>
                <m:t>excl. KAO</m:t>
              </m:r>
            </m:sup>
          </m:sSubSup>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m:rPr>
                      <m:sty m:val="p"/>
                    </m:rPr>
                    <w:rPr>
                      <w:rFonts w:ascii="Cambria Math" w:hAnsi="Cambria Math"/>
                      <w:lang w:val="en-US"/>
                    </w:rPr>
                    <m:t>0</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m:rPr>
                      <m:sty m:val="p"/>
                    </m:rPr>
                    <w:rPr>
                      <w:rFonts w:ascii="Cambria Math" w:hAnsi="Cambria Math"/>
                      <w:lang w:val="en-US"/>
                    </w:rPr>
                    <m:t>0</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w:rPr>
                      <w:rFonts w:ascii="Cambria Math" w:hAnsi="Cambria Math"/>
                      <w:lang w:val="en-US"/>
                    </w:rPr>
                    <m:t>i</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r>
                <w:rPr>
                  <w:rFonts w:ascii="Cambria Math" w:hAnsi="Cambria Math"/>
                  <w:lang w:val="en-US"/>
                </w:rPr>
                <m:t>F</m:t>
              </m:r>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oMath>
      </m:oMathPara>
    </w:p>
    <w:p w14:paraId="04C7E1E1" w14:textId="77777777" w:rsidR="00DE2C81" w:rsidRPr="00DE2C81" w:rsidRDefault="00DE2C81" w:rsidP="00A75EBC"/>
    <w:p w14:paraId="03313362" w14:textId="77777777" w:rsidR="00DE2C81" w:rsidRPr="00DE2C81" w:rsidRDefault="00E41B2D" w:rsidP="00A75EBC">
      <w:pPr>
        <w:rPr>
          <w:lang w:val="en-US"/>
        </w:rPr>
      </w:pPr>
      <m:oMathPara>
        <m:oMath>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Sub>
          <m:r>
            <m:rPr>
              <m:sty m:val="p"/>
            </m:rPr>
            <w:rPr>
              <w:rFonts w:ascii="Cambria Math" w:hAnsi="Cambria Math"/>
              <w:lang w:val="en-US"/>
            </w:rPr>
            <m:t xml:space="preserve">= </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m:rPr>
                      <m:sty m:val="p"/>
                    </m:rPr>
                    <w:rPr>
                      <w:rFonts w:ascii="Cambria Math" w:hAnsi="Cambria Math"/>
                      <w:lang w:val="en-US"/>
                    </w:rPr>
                    <m:t>0</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FD</m:t>
                  </m:r>
                </m:e>
                <m:sub>
                  <m:r>
                    <m:rPr>
                      <m:sty m:val="p"/>
                    </m:rPr>
                    <w:rPr>
                      <w:rFonts w:ascii="Cambria Math" w:hAnsi="Cambria Math"/>
                      <w:lang w:val="en-US"/>
                    </w:rPr>
                    <m:t>0</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w:rPr>
                  <w:rFonts w:ascii="Cambria Math" w:hAnsi="Cambria Math"/>
                  <w:lang w:val="en-US"/>
                </w:rPr>
                <m:t>k</m:t>
              </m:r>
            </m:sup>
            <m:e>
              <m:sSub>
                <m:sSubPr>
                  <m:ctrlPr>
                    <w:rPr>
                      <w:rFonts w:ascii="Cambria Math" w:hAnsi="Cambria Math"/>
                      <w:lang w:val="en-US"/>
                    </w:rPr>
                  </m:ctrlPr>
                </m:sSubPr>
                <m:e>
                  <m:r>
                    <w:rPr>
                      <w:rFonts w:ascii="Cambria Math" w:hAnsi="Cambria Math"/>
                      <w:lang w:val="en-US"/>
                    </w:rPr>
                    <m:t>FC</m:t>
                  </m:r>
                </m:e>
                <m:sub>
                  <m:r>
                    <w:rPr>
                      <w:rFonts w:ascii="Cambria Math" w:hAnsi="Cambria Math"/>
                      <w:lang w:val="en-US"/>
                    </w:rPr>
                    <m:t>i</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r>
                <m:rPr>
                  <m:sty m:val="p"/>
                </m:rPr>
                <w:rPr>
                  <w:rFonts w:ascii="Cambria Math" w:hAnsi="Cambria Math"/>
                  <w:lang w:val="en-US"/>
                </w:rPr>
                <m:t xml:space="preserve">. </m:t>
              </m:r>
              <m:r>
                <w:rPr>
                  <w:rFonts w:ascii="Cambria Math" w:hAnsi="Cambria Math"/>
                  <w:lang w:val="en-US"/>
                </w:rPr>
                <m:t>F</m:t>
              </m:r>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nary>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KAO</m:t>
              </m:r>
            </m:e>
            <m:sub>
              <m:r>
                <w:rPr>
                  <w:rFonts w:ascii="Cambria Math" w:hAnsi="Cambria Math"/>
                  <w:lang w:val="en-US"/>
                </w:rPr>
                <m:t>i</m:t>
              </m:r>
            </m:sub>
          </m:sSub>
        </m:oMath>
      </m:oMathPara>
    </w:p>
    <w:p w14:paraId="15B2987D" w14:textId="77777777" w:rsidR="0024291D" w:rsidRDefault="0024291D" w:rsidP="00A75EBC"/>
    <w:p w14:paraId="2DE568F9" w14:textId="77777777" w:rsidR="00230C71" w:rsidRDefault="00230C71" w:rsidP="00325463">
      <w:pPr>
        <w:pStyle w:val="Prrafodelista"/>
        <w:numPr>
          <w:ilvl w:val="0"/>
          <w:numId w:val="21"/>
        </w:numPr>
        <w:ind w:left="284" w:hanging="284"/>
      </w:pPr>
      <w:r>
        <w:t>El cálculo de</w:t>
      </w:r>
      <w:r w:rsidR="00FF4F58">
        <w:t xml:space="preserve"> las pérdidas del VEP (</w:t>
      </w:r>
      <w:r w:rsidR="00DB7DF7">
        <w:t xml:space="preserve">cuando </w:t>
      </w:r>
      <w:r w:rsidR="00B65880">
        <w:t xml:space="preserve">el </w:t>
      </w:r>
      <m:oMath>
        <m:sSub>
          <m:sSubPr>
            <m:ctrlPr>
              <w:rPr>
                <w:rFonts w:ascii="Cambria Math" w:hAnsi="Cambria Math"/>
                <w:i/>
                <w:lang w:val="en-US"/>
              </w:rPr>
            </m:ctrlPr>
          </m:sSubPr>
          <m:e>
            <m:r>
              <w:rPr>
                <w:rFonts w:ascii="Cambria Math" w:hAnsi="Cambria Math"/>
              </w:rPr>
              <m:t>∆</m:t>
            </m:r>
            <m:r>
              <w:rPr>
                <w:rFonts w:ascii="Cambria Math" w:hAnsi="Cambria Math"/>
                <w:lang w:val="en-US"/>
              </w:rPr>
              <m:t>VEP</m:t>
            </m:r>
          </m:e>
          <m:sub>
            <m:r>
              <w:rPr>
                <w:rFonts w:ascii="Cambria Math" w:hAnsi="Cambria Math"/>
                <w:lang w:val="en-US"/>
              </w:rPr>
              <m:t>i</m:t>
            </m:r>
            <m:r>
              <w:rPr>
                <w:rFonts w:ascii="Cambria Math" w:hAnsi="Cambria Math"/>
              </w:rPr>
              <m:t>,</m:t>
            </m:r>
            <m:r>
              <w:rPr>
                <w:rFonts w:ascii="Cambria Math" w:hAnsi="Cambria Math"/>
                <w:lang w:val="en-US"/>
              </w:rPr>
              <m:t>c</m:t>
            </m:r>
          </m:sub>
        </m:sSub>
      </m:oMath>
      <w:r w:rsidR="00DB7DF7">
        <w:t xml:space="preserve"> </w:t>
      </w:r>
      <w:r w:rsidR="00B65880">
        <w:t xml:space="preserve">sea </w:t>
      </w:r>
      <w:r w:rsidR="00DB7DF7">
        <w:t xml:space="preserve">mayor a cero para </w:t>
      </w:r>
      <w:r w:rsidR="00B65880">
        <w:t>su respectiva</w:t>
      </w:r>
      <w:r w:rsidR="00DB7DF7">
        <w:t xml:space="preserve"> moneda y escenario</w:t>
      </w:r>
      <w:r>
        <w:t xml:space="preserve">) </w:t>
      </w:r>
      <w:r w:rsidR="00D654AE">
        <w:t>se debe</w:t>
      </w:r>
      <w:r>
        <w:t xml:space="preserve"> realizar de la siguiente forma:</w:t>
      </w:r>
    </w:p>
    <w:p w14:paraId="550A1F35" w14:textId="712ECE0A" w:rsidR="00FF4F58" w:rsidRDefault="00FF4F58" w:rsidP="00230C71">
      <w:pPr>
        <w:pStyle w:val="Prrafodelista"/>
      </w:pPr>
    </w:p>
    <w:p w14:paraId="20073D99" w14:textId="67516445" w:rsidR="00D654AE" w:rsidRDefault="00A20777" w:rsidP="00325463">
      <w:pPr>
        <w:pStyle w:val="Prrafodelista"/>
        <w:numPr>
          <w:ilvl w:val="0"/>
          <w:numId w:val="22"/>
        </w:numPr>
        <w:ind w:left="567" w:hanging="283"/>
      </w:pPr>
      <w:r>
        <w:t xml:space="preserve">Calcular la pérdida máxima para </w:t>
      </w:r>
      <w:r w:rsidR="0007170F">
        <w:t xml:space="preserve">cada moneda </w:t>
      </w:r>
      <m:oMath>
        <m:r>
          <w:rPr>
            <w:rFonts w:ascii="Cambria Math" w:hAnsi="Cambria Math"/>
          </w:rPr>
          <m:t>c</m:t>
        </m:r>
      </m:oMath>
      <w:r w:rsidR="007803B8">
        <w:t xml:space="preserve"> </w:t>
      </w:r>
      <w:r w:rsidR="005F34FE">
        <w:t xml:space="preserve">agregada para un escenario de choque de tasa de interés </w:t>
      </w:r>
      <m:oMath>
        <m:r>
          <w:rPr>
            <w:rFonts w:ascii="Cambria Math" w:hAnsi="Cambria Math"/>
          </w:rPr>
          <m:t>i</m:t>
        </m:r>
      </m:oMath>
      <w:r w:rsidR="006A192F">
        <w:t>.</w:t>
      </w:r>
    </w:p>
    <w:p w14:paraId="5CD8B989" w14:textId="1ED5412E" w:rsidR="0041505C" w:rsidRDefault="00E41B2D" w:rsidP="00A75EBC">
      <w:pPr>
        <w:pStyle w:val="Prrafodelista"/>
      </w:pPr>
      <m:oMathPara>
        <m:oMath>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Sub>
          <m:r>
            <m:rPr>
              <m:sty m:val="p"/>
            </m:rPr>
            <w:rPr>
              <w:rFonts w:ascii="Cambria Math" w:hAnsi="Cambria Math"/>
              <w:lang w:val="en-US"/>
            </w:rPr>
            <m:t>=</m:t>
          </m:r>
          <m:nary>
            <m:naryPr>
              <m:chr m:val="∑"/>
              <m:limLoc m:val="undOvr"/>
              <m:supHide m:val="1"/>
              <m:ctrlPr>
                <w:rPr>
                  <w:rFonts w:ascii="Cambria Math" w:hAnsi="Cambria Math"/>
                  <w:lang w:val="en-US"/>
                </w:rPr>
              </m:ctrlPr>
            </m:naryPr>
            <m:sub>
              <m:r>
                <w:rPr>
                  <w:rFonts w:ascii="Cambria Math" w:hAnsi="Cambria Math"/>
                  <w:lang w:val="en-US"/>
                </w:rPr>
                <m:t>c</m:t>
              </m:r>
            </m:sub>
            <m:sup/>
            <m:e>
              <m:sSub>
                <m:sSubPr>
                  <m:ctrlPr>
                    <w:rPr>
                      <w:rFonts w:ascii="Cambria Math" w:hAnsi="Cambria Math"/>
                      <w:lang w:val="en-US"/>
                    </w:rPr>
                  </m:ctrlPr>
                </m:sSubPr>
                <m:e>
                  <m:r>
                    <m:rPr>
                      <m:sty m:val="p"/>
                    </m:rPr>
                    <w:rPr>
                      <w:rFonts w:ascii="Cambria Math" w:hAnsi="Cambria Math"/>
                      <w:lang w:val="en-US"/>
                    </w:rPr>
                    <m:t>max⁡(0,∆</m:t>
                  </m:r>
                  <m:r>
                    <w:rPr>
                      <w:rFonts w:ascii="Cambria Math" w:hAnsi="Cambria Math"/>
                      <w:lang w:val="en-US"/>
                    </w:rPr>
                    <m:t>VEP</m:t>
                  </m:r>
                </m:e>
                <m:sub>
                  <m:r>
                    <w:rPr>
                      <w:rFonts w:ascii="Cambria Math" w:hAnsi="Cambria Math"/>
                      <w:lang w:val="en-US"/>
                    </w:rPr>
                    <m:t>i</m:t>
                  </m:r>
                  <m:r>
                    <m:rPr>
                      <m:sty m:val="p"/>
                    </m:rPr>
                    <w:rPr>
                      <w:rFonts w:ascii="Cambria Math" w:hAnsi="Cambria Math"/>
                      <w:lang w:val="en-US"/>
                    </w:rPr>
                    <m:t>,</m:t>
                  </m:r>
                  <m:r>
                    <w:rPr>
                      <w:rFonts w:ascii="Cambria Math" w:hAnsi="Cambria Math"/>
                      <w:lang w:val="en-US"/>
                    </w:rPr>
                    <m:t>c</m:t>
                  </m:r>
                </m:sub>
              </m:sSub>
              <m:r>
                <m:rPr>
                  <m:sty m:val="p"/>
                </m:rPr>
                <w:rPr>
                  <w:rFonts w:ascii="Cambria Math" w:hAnsi="Cambria Math"/>
                  <w:lang w:val="en-US"/>
                </w:rPr>
                <m:t>)</m:t>
              </m:r>
            </m:e>
          </m:nary>
        </m:oMath>
      </m:oMathPara>
    </w:p>
    <w:p w14:paraId="661E3850" w14:textId="58B7DC08" w:rsidR="00A20777" w:rsidRDefault="006A192F" w:rsidP="00325463">
      <w:pPr>
        <w:pStyle w:val="Prrafodelista"/>
        <w:numPr>
          <w:ilvl w:val="0"/>
          <w:numId w:val="22"/>
        </w:numPr>
        <w:ind w:left="567" w:hanging="283"/>
      </w:pPr>
      <w:r>
        <w:t xml:space="preserve">Obtener el escenario </w:t>
      </w:r>
      <m:oMath>
        <m:r>
          <w:rPr>
            <w:rFonts w:ascii="Cambria Math" w:hAnsi="Cambria Math"/>
          </w:rPr>
          <m:t>i</m:t>
        </m:r>
      </m:oMath>
      <w:r>
        <w:t xml:space="preserve"> en el cual se registra la </w:t>
      </w:r>
      <w:r w:rsidR="0007170F">
        <w:t>pérdida máxima</w:t>
      </w:r>
      <w:r w:rsidR="00A20777">
        <w:t>.</w:t>
      </w:r>
      <w:r w:rsidR="002A014D">
        <w:t xml:space="preserve"> Esta definirá la medida estandarizada del VEP</w:t>
      </w:r>
      <w:r w:rsidR="00230C71">
        <w:t>:</w:t>
      </w:r>
    </w:p>
    <w:p w14:paraId="2A4DC9E0" w14:textId="77777777" w:rsidR="00FF1D6A" w:rsidRDefault="00FF1D6A" w:rsidP="00A75EBC">
      <w:pPr>
        <w:pStyle w:val="Prrafodelista"/>
      </w:pPr>
    </w:p>
    <w:p w14:paraId="3A320ED9" w14:textId="56B22E4A" w:rsidR="00AB1DD9" w:rsidRPr="00054461" w:rsidRDefault="00AB1DD9" w:rsidP="00A75EBC">
      <w:pPr>
        <w:rPr>
          <w:rFonts w:eastAsiaTheme="minorEastAsia"/>
          <w:lang w:val="en-US"/>
        </w:rPr>
      </w:pPr>
      <m:oMathPara>
        <m:oMath>
          <m:r>
            <w:rPr>
              <w:rFonts w:ascii="Cambria Math" w:hAnsi="Cambria Math"/>
              <w:lang w:val="en-US"/>
            </w:rPr>
            <m:t>Medida</m:t>
          </m:r>
          <m:r>
            <m:rPr>
              <m:sty m:val="p"/>
            </m:rPr>
            <w:rPr>
              <w:rFonts w:ascii="Cambria Math" w:hAnsi="Cambria Math"/>
              <w:lang w:val="en-US"/>
            </w:rPr>
            <m:t xml:space="preserve"> </m:t>
          </m:r>
          <m:r>
            <w:rPr>
              <w:rFonts w:ascii="Cambria Math" w:hAnsi="Cambria Math"/>
              <w:lang w:val="en-US"/>
            </w:rPr>
            <m:t>estandarizada</m:t>
          </m:r>
          <m:r>
            <m:rPr>
              <m:sty m:val="p"/>
            </m:rPr>
            <w:rPr>
              <w:rFonts w:ascii="Cambria Math" w:hAnsi="Cambria Math"/>
              <w:lang w:val="en-US"/>
            </w:rPr>
            <m:t xml:space="preserve"> </m:t>
          </m:r>
          <m:r>
            <w:rPr>
              <w:rFonts w:ascii="Cambria Math" w:hAnsi="Cambria Math"/>
              <w:lang w:val="en-US"/>
            </w:rPr>
            <m:t>del</m:t>
          </m:r>
          <m:r>
            <m:rPr>
              <m:sty m:val="p"/>
            </m:rPr>
            <w:rPr>
              <w:rFonts w:ascii="Cambria Math" w:hAnsi="Cambria Math"/>
              <w:lang w:val="en-US"/>
            </w:rPr>
            <m:t xml:space="preserve"> </m:t>
          </m:r>
          <m:r>
            <w:rPr>
              <w:rFonts w:ascii="Cambria Math" w:hAnsi="Cambria Math"/>
              <w:lang w:val="en-US"/>
            </w:rPr>
            <m:t>VEP</m:t>
          </m:r>
          <m:r>
            <m:rPr>
              <m:sty m:val="p"/>
            </m:rPr>
            <w:rPr>
              <w:rFonts w:ascii="Cambria Math" w:hAnsi="Cambria Math"/>
              <w:lang w:val="en-US"/>
            </w:rPr>
            <m:t xml:space="preserve">= </m:t>
          </m:r>
          <m:func>
            <m:funcPr>
              <m:ctrlPr>
                <w:rPr>
                  <w:rFonts w:ascii="Cambria Math" w:hAnsi="Cambria Math"/>
                  <w:lang w:val="en-US"/>
                </w:rPr>
              </m:ctrlPr>
            </m:funcPr>
            <m:fName>
              <m:limLow>
                <m:limLowPr>
                  <m:ctrlPr>
                    <w:rPr>
                      <w:rFonts w:ascii="Cambria Math" w:hAnsi="Cambria Math"/>
                      <w:lang w:val="en-US"/>
                    </w:rPr>
                  </m:ctrlPr>
                </m:limLowPr>
                <m:e>
                  <m:r>
                    <m:rPr>
                      <m:sty m:val="p"/>
                    </m:rPr>
                    <w:rPr>
                      <w:rFonts w:ascii="Cambria Math" w:hAnsi="Cambria Math"/>
                      <w:lang w:val="en-US"/>
                    </w:rPr>
                    <m:t>max</m:t>
                  </m:r>
                </m:e>
                <m:lim>
                  <m:r>
                    <w:rPr>
                      <w:rFonts w:ascii="Cambria Math" w:hAnsi="Cambria Math"/>
                      <w:lang w:val="en-US"/>
                    </w:rPr>
                    <m:t>i</m:t>
                  </m:r>
                  <m:r>
                    <m:rPr>
                      <m:sty m:val="p"/>
                    </m:rPr>
                    <w:rPr>
                      <w:rFonts w:ascii="Cambria Math" w:hAnsi="Cambria Math"/>
                      <w:lang w:val="en-US"/>
                    </w:rPr>
                    <m:t>∈(1,2,…6)</m:t>
                  </m:r>
                </m:lim>
              </m:limLow>
            </m:fName>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VEP</m:t>
                  </m:r>
                </m:e>
                <m:sub>
                  <m:r>
                    <w:rPr>
                      <w:rFonts w:ascii="Cambria Math" w:hAnsi="Cambria Math"/>
                      <w:lang w:val="en-US"/>
                    </w:rPr>
                    <m:t>i</m:t>
                  </m:r>
                </m:sub>
              </m:sSub>
            </m:e>
          </m:func>
        </m:oMath>
      </m:oMathPara>
    </w:p>
    <w:p w14:paraId="5B4FD528" w14:textId="77777777" w:rsidR="006B0506" w:rsidRPr="00842482" w:rsidRDefault="006B0506" w:rsidP="00A75EBC"/>
    <w:p w14:paraId="72DD19D4" w14:textId="10752D63" w:rsidR="00E26B17" w:rsidRPr="00DA1367" w:rsidRDefault="00837F84" w:rsidP="00A75EBC">
      <w:pPr>
        <w:pStyle w:val="Ttulo1"/>
      </w:pPr>
      <w:r w:rsidRPr="00842482">
        <w:t>Cálculo del MNI</w:t>
      </w:r>
    </w:p>
    <w:p w14:paraId="2734D5A6" w14:textId="77777777" w:rsidR="00E26B17" w:rsidRPr="00842482" w:rsidRDefault="00E26B17" w:rsidP="007C7798">
      <w:pPr>
        <w:pStyle w:val="Sinespaciado"/>
        <w:rPr>
          <w:highlight w:val="green"/>
        </w:rPr>
      </w:pPr>
    </w:p>
    <w:p w14:paraId="5856BEC6" w14:textId="7E629612" w:rsidR="009439E3" w:rsidRDefault="00AB1DD9" w:rsidP="007C7798">
      <w:pPr>
        <w:pStyle w:val="Sinespaciado"/>
      </w:pPr>
      <w:r>
        <w:t xml:space="preserve">Para </w:t>
      </w:r>
      <w:r w:rsidR="0035178D">
        <w:t xml:space="preserve">la </w:t>
      </w:r>
      <w:r w:rsidR="00651FDA">
        <w:t>determinación de</w:t>
      </w:r>
      <w:r w:rsidR="00F42A2A">
        <w:t xml:space="preserve"> </w:t>
      </w:r>
      <m:oMath>
        <m:r>
          <w:rPr>
            <w:rFonts w:ascii="Cambria Math" w:hAnsi="Cambria Math"/>
            <w:lang w:val="en-US"/>
          </w:rPr>
          <m:t>MNI</m:t>
        </m:r>
      </m:oMath>
      <w:r w:rsidR="009963B9">
        <w:t xml:space="preserve"> </w:t>
      </w:r>
      <w:r w:rsidR="00BE25AD">
        <w:t xml:space="preserve">la entidad debe </w:t>
      </w:r>
      <w:r w:rsidR="00FC1FF9">
        <w:t xml:space="preserve">calcular </w:t>
      </w:r>
      <w:r w:rsidR="00296EAB">
        <w:t xml:space="preserve">el impacto </w:t>
      </w:r>
      <w:r w:rsidR="00C93A1D">
        <w:t xml:space="preserve">acumulado </w:t>
      </w:r>
      <w:r w:rsidR="00296EAB">
        <w:t>de los escenarios de los choques paralelos hacia arriba y hacia abajo</w:t>
      </w:r>
      <w:r w:rsidR="00921296">
        <w:t xml:space="preserve"> (</w:t>
      </w:r>
      <m:oMath>
        <m:r>
          <w:rPr>
            <w:rFonts w:ascii="Cambria Math" w:hAnsi="Cambria Math"/>
          </w:rPr>
          <m:t>i∈(1,2)</m:t>
        </m:r>
      </m:oMath>
      <w:r w:rsidR="00921296">
        <w:t>)</w:t>
      </w:r>
      <w:r w:rsidR="006723AF">
        <w:t xml:space="preserve"> del numeral 1.3</w:t>
      </w:r>
      <w:r w:rsidR="008A303D">
        <w:t xml:space="preserve">, </w:t>
      </w:r>
      <w:r w:rsidR="009116D9">
        <w:t xml:space="preserve">sobre </w:t>
      </w:r>
      <w:r w:rsidR="0035178D">
        <w:t xml:space="preserve">los ingresos netos </w:t>
      </w:r>
      <w:r w:rsidR="00670860">
        <w:t xml:space="preserve">que se encuentran en las bandas de tiempo inferiores </w:t>
      </w:r>
      <w:r w:rsidR="00325DEC">
        <w:t>o iguales hasta un año</w:t>
      </w:r>
      <w:r w:rsidR="0018521B">
        <w:t>, independiente del vencimiento del instrumento</w:t>
      </w:r>
      <w:r w:rsidR="00E9724E">
        <w:t xml:space="preserve"> sensible a tasa de interés</w:t>
      </w:r>
      <w:r w:rsidR="00325DEC" w:rsidRPr="00F6393C" w:rsidDel="00387AD6">
        <w:t>.</w:t>
      </w:r>
      <w:r w:rsidR="00E9724E" w:rsidRPr="00F6393C" w:rsidDel="00387AD6">
        <w:t xml:space="preserve"> </w:t>
      </w:r>
    </w:p>
    <w:p w14:paraId="4FCDF87F" w14:textId="77777777" w:rsidR="009439E3" w:rsidRDefault="009439E3" w:rsidP="007C7798">
      <w:pPr>
        <w:pStyle w:val="Sinespaciado"/>
      </w:pPr>
    </w:p>
    <w:p w14:paraId="29835829" w14:textId="77962093" w:rsidR="00D44E54" w:rsidRDefault="0079328C" w:rsidP="007C7798">
      <w:pPr>
        <w:pStyle w:val="Sinespaciado"/>
      </w:pPr>
      <w:r>
        <w:t>Para este cálculo</w:t>
      </w:r>
      <w:r w:rsidR="00CD28D0">
        <w:t xml:space="preserve"> </w:t>
      </w:r>
      <w:r w:rsidR="00817933">
        <w:t xml:space="preserve">la entidad debe </w:t>
      </w:r>
      <w:r w:rsidR="00461904">
        <w:t>seguir los siguientes pasos</w:t>
      </w:r>
      <w:r w:rsidR="00817933">
        <w:t>:</w:t>
      </w:r>
    </w:p>
    <w:p w14:paraId="394D543A" w14:textId="77777777" w:rsidR="00817933" w:rsidRDefault="00817933" w:rsidP="007C7798">
      <w:pPr>
        <w:pStyle w:val="Sinespaciado"/>
      </w:pPr>
    </w:p>
    <w:p w14:paraId="3598BEE1" w14:textId="69381145" w:rsidR="0008250C" w:rsidRDefault="00F6393C" w:rsidP="00325463">
      <w:pPr>
        <w:pStyle w:val="Sinespaciado"/>
        <w:numPr>
          <w:ilvl w:val="0"/>
          <w:numId w:val="23"/>
        </w:numPr>
        <w:ind w:left="284" w:hanging="284"/>
      </w:pPr>
      <w:r>
        <w:t xml:space="preserve">Calcular el </w:t>
      </w:r>
      <w:r w:rsidR="006A0435">
        <w:t xml:space="preserve">MNI </w:t>
      </w:r>
      <w:r w:rsidR="0008250C">
        <w:t>de la siguiente forma:</w:t>
      </w:r>
    </w:p>
    <w:p w14:paraId="05ACB6AD" w14:textId="692D4720" w:rsidR="00BD29A4" w:rsidRPr="00BD29A4" w:rsidRDefault="00E41B2D" w:rsidP="00BD29A4">
      <w:pPr>
        <w:rPr>
          <w:rFonts w:eastAsiaTheme="minorEastAsia"/>
          <w:lang w:val="en-US"/>
        </w:rPr>
      </w:pPr>
      <m:oMathPara>
        <m:oMath>
          <m:sSub>
            <m:sSubPr>
              <m:ctrlPr>
                <w:rPr>
                  <w:rFonts w:ascii="Cambria Math" w:hAnsi="Cambria Math"/>
                  <w:lang w:val="en-US"/>
                </w:rPr>
              </m:ctrlPr>
            </m:sSubPr>
            <m:e>
              <m:r>
                <m:rPr>
                  <m:sty m:val="p"/>
                </m:rPr>
                <w:rPr>
                  <w:rFonts w:ascii="Cambria Math" w:hAnsi="Cambria Math"/>
                </w:rPr>
                <m:t>∆</m:t>
              </m:r>
              <m:r>
                <w:rPr>
                  <w:rFonts w:ascii="Cambria Math" w:hAnsi="Cambria Math"/>
                  <w:lang w:val="en-US"/>
                </w:rPr>
                <m:t>MNI</m:t>
              </m:r>
            </m:e>
            <m:sub>
              <m:r>
                <w:rPr>
                  <w:rFonts w:ascii="Cambria Math" w:hAnsi="Cambria Math"/>
                  <w:lang w:val="en-US"/>
                </w:rPr>
                <m:t>i</m:t>
              </m:r>
              <m:r>
                <w:rPr>
                  <w:rFonts w:ascii="Cambria Math" w:hAnsi="Cambria Math"/>
                </w:rPr>
                <m:t>,</m:t>
              </m:r>
              <m:r>
                <w:rPr>
                  <w:rFonts w:ascii="Cambria Math" w:hAnsi="Cambria Math"/>
                  <w:lang w:val="en-US"/>
                </w:rPr>
                <m:t>c</m:t>
              </m:r>
            </m:sub>
          </m:sSub>
          <m:r>
            <m:rPr>
              <m:sty m:val="p"/>
            </m:rPr>
            <w:rPr>
              <w:rFonts w:ascii="Cambria Math" w:hAnsi="Cambria Math"/>
            </w:rPr>
            <m:t>= ∆</m:t>
          </m:r>
          <m:sSub>
            <m:sSubPr>
              <m:ctrlPr>
                <w:rPr>
                  <w:rFonts w:ascii="Cambria Math" w:hAnsi="Cambria Math"/>
                </w:rPr>
              </m:ctrlPr>
            </m:sSubPr>
            <m:e>
              <m:r>
                <w:rPr>
                  <w:rFonts w:ascii="Cambria Math" w:hAnsi="Cambria Math"/>
                </w:rPr>
                <m:t>R</m:t>
              </m:r>
            </m:e>
            <m:sub>
              <m:r>
                <w:rPr>
                  <w:rFonts w:ascii="Cambria Math" w:hAnsi="Cambria Math"/>
                </w:rPr>
                <m:t>paralelo</m:t>
              </m:r>
              <m:r>
                <m:rPr>
                  <m:sty m:val="p"/>
                </m:rPr>
                <w:rPr>
                  <w:rFonts w:ascii="Cambria Math" w:hAnsi="Cambria Math"/>
                </w:rPr>
                <m:t xml:space="preserve">,  </m:t>
              </m:r>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k</m:t>
                  </m:r>
                </m:sub>
              </m:sSub>
            </m:e>
          </m:d>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k</m:t>
              </m:r>
              <m:r>
                <m:rPr>
                  <m:sty m:val="p"/>
                </m:rPr>
                <w:rPr>
                  <w:rFonts w:ascii="Cambria Math" w:hAnsi="Cambria Math"/>
                  <w:lang w:val="en-US"/>
                </w:rPr>
                <m:t>=1</m:t>
              </m:r>
            </m:sub>
            <m:sup>
              <m:r>
                <m:rPr>
                  <m:sty m:val="p"/>
                </m:rPr>
                <w:rPr>
                  <w:rFonts w:ascii="Cambria Math" w:hAnsi="Cambria Math"/>
                  <w:lang w:val="en-US"/>
                </w:rPr>
                <m:t>6</m:t>
              </m:r>
            </m:sup>
            <m:e>
              <m:sSub>
                <m:sSubPr>
                  <m:ctrlPr>
                    <w:rPr>
                      <w:rFonts w:ascii="Cambria Math" w:hAnsi="Cambria Math"/>
                      <w:lang w:val="en-US"/>
                    </w:rPr>
                  </m:ctrlPr>
                </m:sSubPr>
                <m:e>
                  <m:r>
                    <w:rPr>
                      <w:rFonts w:ascii="Cambria Math" w:hAnsi="Cambria Math"/>
                      <w:lang w:val="en-US"/>
                    </w:rPr>
                    <m:t>FC</m:t>
                  </m:r>
                </m:e>
                <m:sub>
                  <m:r>
                    <w:rPr>
                      <w:rFonts w:ascii="Cambria Math" w:hAnsi="Cambria Math"/>
                      <w:lang w:val="en-US"/>
                    </w:rPr>
                    <m:t>i,c</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e>
              </m:d>
            </m:e>
          </m:nary>
          <m:r>
            <m:rPr>
              <m:sty m:val="p"/>
            </m:rPr>
            <w:rPr>
              <w:rFonts w:ascii="Cambria Math" w:hAnsi="Cambria Math"/>
              <w:lang w:val="en-US"/>
            </w:rPr>
            <m:t>. (</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r>
            <m:rPr>
              <m:sty m:val="p"/>
            </m:rPr>
            <w:rPr>
              <w:rFonts w:ascii="Cambria Math" w:hAnsi="Cambria Math"/>
              <w:lang w:val="en-US"/>
            </w:rPr>
            <m:t>.</m:t>
          </m:r>
          <m:sSub>
            <m:sSubPr>
              <m:ctrlPr>
                <w:rPr>
                  <w:rFonts w:ascii="Cambria Math" w:hAnsi="Cambria Math"/>
                  <w:i/>
                  <w:iCs/>
                  <w:lang w:val="en-US"/>
                </w:rPr>
              </m:ctrlPr>
            </m:sSubPr>
            <m:e>
              <m:r>
                <w:rPr>
                  <w:rFonts w:ascii="Cambria Math" w:hAnsi="Cambria Math"/>
                  <w:lang w:val="en-US"/>
                </w:rPr>
                <m:t>FD</m:t>
              </m:r>
            </m:e>
            <m:sub>
              <m:r>
                <w:rPr>
                  <w:rFonts w:ascii="Cambria Math" w:hAnsi="Cambria Math"/>
                  <w:lang w:val="en-US"/>
                </w:rPr>
                <m:t>0,c</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k</m:t>
              </m:r>
            </m:sub>
          </m:sSub>
          <m:r>
            <m:rPr>
              <m:sty m:val="p"/>
            </m:rPr>
            <w:rPr>
              <w:rFonts w:ascii="Cambria Math" w:hAnsi="Cambria Math"/>
              <w:lang w:val="en-US"/>
            </w:rPr>
            <m:t>)-</m:t>
          </m:r>
          <m:r>
            <w:rPr>
              <w:rFonts w:ascii="Cambria Math" w:hAnsi="Cambria Math"/>
              <w:lang w:val="en-US"/>
            </w:rPr>
            <m:t>T</m:t>
          </m:r>
          <m:r>
            <m:rPr>
              <m:sty m:val="p"/>
            </m:rPr>
            <w:rPr>
              <w:rFonts w:ascii="Cambria Math" w:hAnsi="Cambria Math"/>
              <w:lang w:val="en-US"/>
            </w:rPr>
            <m:t>.</m:t>
          </m:r>
          <m:sSub>
            <m:sSubPr>
              <m:ctrlPr>
                <w:rPr>
                  <w:rFonts w:ascii="Cambria Math" w:hAnsi="Cambria Math"/>
                  <w:i/>
                  <w:iCs/>
                  <w:lang w:val="en-US"/>
                </w:rPr>
              </m:ctrlPr>
            </m:sSubPr>
            <m:e>
              <m:r>
                <w:rPr>
                  <w:rFonts w:ascii="Cambria Math" w:hAnsi="Cambria Math"/>
                  <w:lang w:val="en-US"/>
                </w:rPr>
                <m:t>FD</m:t>
              </m:r>
            </m:e>
            <m:sub>
              <m:r>
                <w:rPr>
                  <w:rFonts w:ascii="Cambria Math" w:hAnsi="Cambria Math"/>
                  <w:lang w:val="en-US"/>
                </w:rPr>
                <m:t>0,c</m:t>
              </m:r>
            </m:sub>
          </m:sSub>
          <m:r>
            <m:rPr>
              <m:sty m:val="p"/>
            </m:rPr>
            <w:rPr>
              <w:rFonts w:ascii="Cambria Math" w:hAnsi="Cambria Math"/>
              <w:lang w:val="en-US"/>
            </w:rPr>
            <m:t>(</m:t>
          </m:r>
          <m:r>
            <w:rPr>
              <w:rFonts w:ascii="Cambria Math" w:hAnsi="Cambria Math"/>
              <w:lang w:val="en-US"/>
            </w:rPr>
            <m:t>T</m:t>
          </m:r>
          <m:r>
            <m:rPr>
              <m:sty m:val="p"/>
            </m:rPr>
            <w:rPr>
              <w:rFonts w:ascii="Cambria Math" w:hAnsi="Cambria Math"/>
              <w:lang w:val="en-US"/>
            </w:rPr>
            <m:t>))</m:t>
          </m:r>
        </m:oMath>
      </m:oMathPara>
    </w:p>
    <w:p w14:paraId="7DAEAFCE" w14:textId="413BB4D4" w:rsidR="0008250C" w:rsidRDefault="0008250C" w:rsidP="007C7798">
      <w:pPr>
        <w:pStyle w:val="Sinespaciado"/>
      </w:pPr>
      <w:r>
        <w:t>Donde:</w:t>
      </w:r>
    </w:p>
    <w:p w14:paraId="7F8F0CC9" w14:textId="77777777" w:rsidR="00BD29A4" w:rsidRDefault="00BD29A4" w:rsidP="007C7798">
      <w:pPr>
        <w:pStyle w:val="Sinespaciado"/>
      </w:pPr>
    </w:p>
    <w:p w14:paraId="5413744E" w14:textId="11D4A20C" w:rsidR="0008250C" w:rsidRPr="000C4ADB" w:rsidRDefault="003D3F72" w:rsidP="007C7798">
      <w:pPr>
        <w:pStyle w:val="Sinespaciado"/>
      </w:pP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paralelo,  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t>:</w:t>
      </w:r>
      <w:r w:rsidR="00E031C8" w:rsidRPr="000267F5">
        <w:t xml:space="preserve"> </w:t>
      </w:r>
      <w:r w:rsidRPr="000C4ADB">
        <w:t>Choque paralelo de t</w:t>
      </w:r>
      <w:r w:rsidR="008164D6" w:rsidRPr="000C4ADB">
        <w:t xml:space="preserve">asa de interés </w:t>
      </w:r>
      <w:r w:rsidR="004B613C" w:rsidRPr="000C4ADB">
        <w:t xml:space="preserve">del escenario </w:t>
      </w:r>
      <m:oMath>
        <m:r>
          <w:rPr>
            <w:rFonts w:ascii="Cambria Math" w:hAnsi="Cambria Math"/>
          </w:rPr>
          <m:t>i</m:t>
        </m:r>
      </m:oMath>
      <w:r w:rsidR="004B613C" w:rsidRPr="000C4ADB">
        <w:t xml:space="preserve"> para</w:t>
      </w:r>
      <w:r w:rsidR="00A44EF6">
        <w:t xml:space="preserve"> la moneda </w:t>
      </w:r>
      <m:oMath>
        <m:r>
          <w:rPr>
            <w:rFonts w:ascii="Cambria Math" w:hAnsi="Cambria Math"/>
          </w:rPr>
          <m:t>c</m:t>
        </m:r>
      </m:oMath>
      <w:r w:rsidR="00A44EF6">
        <w:t xml:space="preserve"> en</w:t>
      </w:r>
      <w:r w:rsidR="004B613C" w:rsidRPr="000C4ADB">
        <w:t xml:space="preserve"> 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7A3D6D" w:rsidRPr="000C4ADB">
        <w:t>.</w:t>
      </w:r>
    </w:p>
    <w:p w14:paraId="4C7024A6" w14:textId="00C29AE7" w:rsidR="007F5664" w:rsidRDefault="00E41B2D" w:rsidP="007C7798">
      <w:pPr>
        <w:pStyle w:val="Sinespaciado"/>
      </w:pPr>
      <m:oMath>
        <m:sSub>
          <m:sSubPr>
            <m:ctrlPr>
              <w:rPr>
                <w:rFonts w:ascii="Cambria Math" w:hAnsi="Cambria Math"/>
                <w:i/>
              </w:rPr>
            </m:ctrlPr>
          </m:sSubPr>
          <m:e>
            <m:r>
              <w:rPr>
                <w:rFonts w:ascii="Cambria Math" w:hAnsi="Cambria Math"/>
              </w:rPr>
              <m:t>FC</m:t>
            </m:r>
          </m:e>
          <m:sub>
            <m:r>
              <w:rPr>
                <w:rFonts w:ascii="Cambria Math" w:hAnsi="Cambria Math"/>
              </w:rPr>
              <m:t>i,c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oMath>
      <w:r w:rsidR="007F5664" w:rsidRPr="000C4ADB">
        <w:t>:</w:t>
      </w:r>
      <w:r w:rsidR="009C4C65" w:rsidRPr="000C4ADB">
        <w:t xml:space="preserve"> Flujo de caja </w:t>
      </w:r>
      <w:r w:rsidR="00327C26">
        <w:rPr>
          <w:rFonts w:eastAsiaTheme="minorEastAsia"/>
        </w:rPr>
        <w:t xml:space="preserve">del escenario </w:t>
      </w:r>
      <m:oMath>
        <m:r>
          <w:rPr>
            <w:rFonts w:ascii="Cambria Math" w:eastAsiaTheme="minorEastAsia" w:hAnsi="Cambria Math"/>
          </w:rPr>
          <m:t>i</m:t>
        </m:r>
      </m:oMath>
      <w:r w:rsidR="00327C26">
        <w:rPr>
          <w:rFonts w:eastAsiaTheme="minorEastAsia"/>
        </w:rPr>
        <w:t xml:space="preserve"> para la moneda </w:t>
      </w:r>
      <m:oMath>
        <m:r>
          <w:rPr>
            <w:rFonts w:ascii="Cambria Math" w:eastAsiaTheme="minorEastAsia" w:hAnsi="Cambria Math"/>
          </w:rPr>
          <m:t>c</m:t>
        </m:r>
      </m:oMath>
      <w:r w:rsidR="00327C26" w:rsidRPr="000C4ADB">
        <w:t xml:space="preserve"> </w:t>
      </w:r>
      <w:r w:rsidR="00327C26">
        <w:t>en</w:t>
      </w:r>
      <w:r w:rsidR="00327C26" w:rsidRPr="000C4ADB">
        <w:t xml:space="preserve"> </w:t>
      </w:r>
      <w:r w:rsidR="0011229F" w:rsidRPr="000C4ADB">
        <w:t xml:space="preserve">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7A3D6D" w:rsidRPr="000C4ADB">
        <w:t>.</w:t>
      </w:r>
    </w:p>
    <w:p w14:paraId="5430E0FC" w14:textId="641A4BB6" w:rsidR="00364875" w:rsidRPr="000C4ADB" w:rsidRDefault="00E41B2D" w:rsidP="007C7798">
      <w:pPr>
        <w:pStyle w:val="Sinespaciado"/>
      </w:pPr>
      <m:oMath>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m:t>
        </m:r>
      </m:oMath>
      <w:r w:rsidR="00AB2A8F">
        <w:rPr>
          <w:rFonts w:eastAsiaTheme="minorEastAsia"/>
        </w:rPr>
        <w:t xml:space="preserve"> Punto medio de 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AB2A8F">
        <w:rPr>
          <w:rFonts w:eastAsiaTheme="minorEastAsia"/>
        </w:rPr>
        <w:t>.</w:t>
      </w:r>
    </w:p>
    <w:p w14:paraId="74D394E7" w14:textId="37F44EC2" w:rsidR="00E031C8" w:rsidRDefault="00E41B2D" w:rsidP="007C7798">
      <w:pPr>
        <w:pStyle w:val="Sinespaciado"/>
      </w:pPr>
      <m:oMath>
        <m:sSub>
          <m:sSubPr>
            <m:ctrlPr>
              <w:rPr>
                <w:rFonts w:ascii="Cambria Math" w:hAnsi="Cambria Math"/>
                <w:i/>
              </w:rPr>
            </m:ctrlPr>
          </m:sSubPr>
          <m:e>
            <m:r>
              <w:rPr>
                <w:rFonts w:ascii="Cambria Math" w:hAnsi="Cambria Math"/>
              </w:rPr>
              <m:t>FD</m:t>
            </m:r>
          </m:e>
          <m:sub>
            <m:r>
              <w:rPr>
                <w:rFonts w:ascii="Cambria Math" w:hAnsi="Cambria Math"/>
              </w:rPr>
              <m:t>0,c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k</m:t>
                </m:r>
              </m:sub>
            </m:sSub>
          </m:e>
        </m:d>
        <m:r>
          <m:rPr>
            <m:sty m:val="p"/>
          </m:rPr>
          <w:rPr>
            <w:rFonts w:ascii="Cambria Math" w:hAnsi="Cambria Math"/>
          </w:rPr>
          <m:t xml:space="preserve">: </m:t>
        </m:r>
      </m:oMath>
      <w:r w:rsidR="00ED6C58" w:rsidRPr="000C4ADB">
        <w:t>F</w:t>
      </w:r>
      <w:r w:rsidR="00ED6C58">
        <w:t>actor de descuento</w:t>
      </w:r>
      <w:r w:rsidR="00ED6C58" w:rsidRPr="000C4ADB">
        <w:t xml:space="preserve"> </w:t>
      </w:r>
      <w:r w:rsidR="00B37C9E">
        <w:rPr>
          <w:rFonts w:eastAsiaTheme="minorEastAsia"/>
        </w:rPr>
        <w:t>del escenario base</w:t>
      </w:r>
      <w:r w:rsidR="00ED6C58">
        <w:rPr>
          <w:rFonts w:eastAsiaTheme="minorEastAsia"/>
        </w:rPr>
        <w:t xml:space="preserve"> para la moneda </w:t>
      </w:r>
      <m:oMath>
        <m:r>
          <w:rPr>
            <w:rFonts w:ascii="Cambria Math" w:eastAsiaTheme="minorEastAsia" w:hAnsi="Cambria Math"/>
          </w:rPr>
          <m:t>c</m:t>
        </m:r>
      </m:oMath>
      <w:r w:rsidR="00ED6C58" w:rsidRPr="000C4ADB">
        <w:t xml:space="preserve"> </w:t>
      </w:r>
      <w:r w:rsidR="00ED6C58">
        <w:t>en</w:t>
      </w:r>
      <w:r w:rsidR="00ED6C58" w:rsidRPr="000C4ADB">
        <w:t xml:space="preserve"> la banda de tiempo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ED6C58" w:rsidRPr="000C4ADB">
        <w:t>.</w:t>
      </w:r>
    </w:p>
    <w:p w14:paraId="71786D9E" w14:textId="03EDC186" w:rsidR="00102909" w:rsidRDefault="00E41B2D" w:rsidP="00102909">
      <w:pPr>
        <w:pStyle w:val="Sinespaciado"/>
      </w:pPr>
      <m:oMath>
        <m:sSub>
          <m:sSubPr>
            <m:ctrlPr>
              <w:rPr>
                <w:rFonts w:ascii="Cambria Math" w:hAnsi="Cambria Math"/>
                <w:i/>
              </w:rPr>
            </m:ctrlPr>
          </m:sSubPr>
          <m:e>
            <m:r>
              <w:rPr>
                <w:rFonts w:ascii="Cambria Math" w:hAnsi="Cambria Math"/>
              </w:rPr>
              <m:t>FD</m:t>
            </m:r>
          </m:e>
          <m:sub>
            <m:r>
              <w:rPr>
                <w:rFonts w:ascii="Cambria Math" w:hAnsi="Cambria Math"/>
              </w:rPr>
              <m:t>0,c</m:t>
            </m:r>
          </m:sub>
        </m:sSub>
        <m:d>
          <m:dPr>
            <m:ctrlPr>
              <w:rPr>
                <w:rFonts w:ascii="Cambria Math" w:hAnsi="Cambria Math"/>
                <w:i/>
              </w:rPr>
            </m:ctrlPr>
          </m:dPr>
          <m:e>
            <m:r>
              <w:rPr>
                <w:rFonts w:ascii="Cambria Math" w:hAnsi="Cambria Math"/>
              </w:rPr>
              <m:t>T</m:t>
            </m:r>
          </m:e>
        </m:d>
        <m:r>
          <m:rPr>
            <m:sty m:val="p"/>
          </m:rPr>
          <w:rPr>
            <w:rFonts w:ascii="Cambria Math" w:hAnsi="Cambria Math"/>
          </w:rPr>
          <m:t xml:space="preserve">: </m:t>
        </m:r>
      </m:oMath>
      <w:r w:rsidR="00E13883" w:rsidRPr="000C4ADB">
        <w:t>F</w:t>
      </w:r>
      <w:r w:rsidR="00E13883">
        <w:t>actor de descuento</w:t>
      </w:r>
      <w:r w:rsidR="00E13883" w:rsidRPr="000C4ADB">
        <w:t xml:space="preserve"> </w:t>
      </w:r>
      <w:r w:rsidR="00E13883">
        <w:rPr>
          <w:rFonts w:eastAsiaTheme="minorEastAsia"/>
        </w:rPr>
        <w:t xml:space="preserve">del escenario base </w:t>
      </w:r>
      <w:r w:rsidR="00ED6C58">
        <w:rPr>
          <w:rFonts w:eastAsiaTheme="minorEastAsia"/>
        </w:rPr>
        <w:t xml:space="preserve">para la moneda </w:t>
      </w:r>
      <m:oMath>
        <m:r>
          <w:rPr>
            <w:rFonts w:ascii="Cambria Math" w:eastAsiaTheme="minorEastAsia" w:hAnsi="Cambria Math"/>
          </w:rPr>
          <m:t>c</m:t>
        </m:r>
      </m:oMath>
      <w:r w:rsidR="00ED6C58" w:rsidRPr="000C4ADB">
        <w:t xml:space="preserve"> </w:t>
      </w:r>
      <w:r w:rsidR="00994DBE">
        <w:t xml:space="preserve">del horizonte de </w:t>
      </w:r>
      <w:r w:rsidR="00ED6C58" w:rsidRPr="000C4ADB">
        <w:t xml:space="preserve">tiempo </w:t>
      </w:r>
      <m:oMath>
        <m:r>
          <w:rPr>
            <w:rFonts w:ascii="Cambria Math" w:hAnsi="Cambria Math"/>
          </w:rPr>
          <m:t>T</m:t>
        </m:r>
      </m:oMath>
      <w:r w:rsidR="00ED6C58" w:rsidRPr="000C4ADB">
        <w:t>.</w:t>
      </w:r>
    </w:p>
    <w:p w14:paraId="2C8259ED" w14:textId="5701E782" w:rsidR="00ED6C58" w:rsidRPr="000C4ADB" w:rsidRDefault="00ED6C58" w:rsidP="00102909">
      <w:pPr>
        <w:pStyle w:val="Sinespaciado"/>
      </w:pPr>
      <m:oMath>
        <m:r>
          <w:rPr>
            <w:rFonts w:ascii="Cambria Math" w:hAnsi="Cambria Math"/>
          </w:rPr>
          <m:t>T:</m:t>
        </m:r>
      </m:oMath>
      <w:r>
        <w:t xml:space="preserve"> horizonte de tiempo del MNI (un año).</w:t>
      </w:r>
    </w:p>
    <w:p w14:paraId="1F4BC8A1" w14:textId="77777777" w:rsidR="00102909" w:rsidRPr="000C4ADB" w:rsidRDefault="00102909" w:rsidP="007C7798">
      <w:pPr>
        <w:pStyle w:val="Sinespaciado"/>
      </w:pPr>
    </w:p>
    <w:p w14:paraId="1E302BE1" w14:textId="6D17FCA4" w:rsidR="00D85194" w:rsidRDefault="00451CCD" w:rsidP="00325463">
      <w:pPr>
        <w:pStyle w:val="Sinespaciado"/>
        <w:numPr>
          <w:ilvl w:val="0"/>
          <w:numId w:val="23"/>
        </w:numPr>
        <w:ind w:left="284" w:hanging="284"/>
      </w:pPr>
      <w:r>
        <w:t xml:space="preserve">Realizar el </w:t>
      </w:r>
      <w:r w:rsidR="00D85194">
        <w:t xml:space="preserve">cálculo de las </w:t>
      </w:r>
      <w:r w:rsidR="00AE1D50">
        <w:t xml:space="preserve">pérdidas del MNI </w:t>
      </w:r>
      <w:r w:rsidR="00FF4901">
        <w:t xml:space="preserve">(cuando el </w:t>
      </w:r>
      <m:oMath>
        <m:sSub>
          <m:sSubPr>
            <m:ctrlPr>
              <w:rPr>
                <w:rFonts w:ascii="Cambria Math" w:hAnsi="Cambria Math"/>
                <w:i/>
                <w:lang w:val="en-US"/>
              </w:rPr>
            </m:ctrlPr>
          </m:sSubPr>
          <m:e>
            <m:r>
              <w:rPr>
                <w:rFonts w:ascii="Cambria Math" w:hAnsi="Cambria Math"/>
              </w:rPr>
              <m:t>∆</m:t>
            </m:r>
            <m:r>
              <w:rPr>
                <w:rFonts w:ascii="Cambria Math" w:hAnsi="Cambria Math"/>
                <w:lang w:val="en-US"/>
              </w:rPr>
              <m:t>MNI</m:t>
            </m:r>
          </m:e>
          <m:sub>
            <m:r>
              <w:rPr>
                <w:rFonts w:ascii="Cambria Math" w:hAnsi="Cambria Math"/>
                <w:lang w:val="en-US"/>
              </w:rPr>
              <m:t>i</m:t>
            </m:r>
            <m:r>
              <w:rPr>
                <w:rFonts w:ascii="Cambria Math" w:hAnsi="Cambria Math"/>
              </w:rPr>
              <m:t>,</m:t>
            </m:r>
            <m:r>
              <w:rPr>
                <w:rFonts w:ascii="Cambria Math" w:hAnsi="Cambria Math"/>
                <w:lang w:val="en-US"/>
              </w:rPr>
              <m:t>c</m:t>
            </m:r>
          </m:sub>
        </m:sSub>
      </m:oMath>
      <w:r w:rsidR="00FF4901">
        <w:t xml:space="preserve"> sea mayor a cero para su respectiva moneda y escenario)</w:t>
      </w:r>
      <w:r w:rsidR="008330B3">
        <w:t xml:space="preserve"> </w:t>
      </w:r>
      <w:r w:rsidR="00FF4901">
        <w:t>de la siguiente forma:</w:t>
      </w:r>
    </w:p>
    <w:p w14:paraId="4C4423FA" w14:textId="77777777" w:rsidR="00BC3507" w:rsidRDefault="00BC3507" w:rsidP="00BC3507">
      <w:pPr>
        <w:pStyle w:val="Sinespaciado"/>
        <w:ind w:left="720"/>
      </w:pPr>
    </w:p>
    <w:p w14:paraId="3C977CDA" w14:textId="131F67A9" w:rsidR="00FF4901" w:rsidRDefault="00FF4901" w:rsidP="00325463">
      <w:pPr>
        <w:pStyle w:val="Prrafodelista"/>
        <w:numPr>
          <w:ilvl w:val="1"/>
          <w:numId w:val="23"/>
        </w:numPr>
        <w:ind w:left="567" w:hanging="283"/>
      </w:pPr>
      <w:r>
        <w:t xml:space="preserve">Calcular la pérdida máxima para cada moneda </w:t>
      </w:r>
      <m:oMath>
        <m:r>
          <w:rPr>
            <w:rFonts w:ascii="Cambria Math" w:hAnsi="Cambria Math"/>
          </w:rPr>
          <m:t>c</m:t>
        </m:r>
      </m:oMath>
      <w:r>
        <w:t xml:space="preserve"> agregada para </w:t>
      </w:r>
      <w:r w:rsidR="00700BE4">
        <w:t xml:space="preserve">los </w:t>
      </w:r>
      <w:r>
        <w:t>escenario</w:t>
      </w:r>
      <w:r w:rsidR="00700BE4">
        <w:t>s</w:t>
      </w:r>
      <w:r>
        <w:t xml:space="preserve"> de choque de tasa de interés </w:t>
      </w:r>
      <m:oMath>
        <m:r>
          <w:rPr>
            <w:rFonts w:ascii="Cambria Math" w:hAnsi="Cambria Math"/>
          </w:rPr>
          <m:t>i</m:t>
        </m:r>
      </m:oMath>
      <w:r>
        <w:t>.</w:t>
      </w:r>
    </w:p>
    <w:p w14:paraId="1A9D8712" w14:textId="4976DF1D" w:rsidR="00FF4901" w:rsidRPr="00BF311C" w:rsidRDefault="00E41B2D" w:rsidP="00A75EBC">
      <w:pPr>
        <w:pStyle w:val="Prrafodelista"/>
        <w:rPr>
          <w:rFonts w:eastAsiaTheme="minorEastAsia"/>
          <w:lang w:val="en-US"/>
        </w:rPr>
      </w:pPr>
      <m:oMathPara>
        <m:oMath>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MNI</m:t>
              </m:r>
            </m:e>
            <m:sub>
              <m:r>
                <w:rPr>
                  <w:rFonts w:ascii="Cambria Math" w:hAnsi="Cambria Math"/>
                  <w:lang w:val="en-US"/>
                </w:rPr>
                <m:t>i</m:t>
              </m:r>
            </m:sub>
          </m:sSub>
          <m:r>
            <m:rPr>
              <m:sty m:val="p"/>
            </m:rPr>
            <w:rPr>
              <w:rFonts w:ascii="Cambria Math" w:hAnsi="Cambria Math"/>
              <w:lang w:val="en-US"/>
            </w:rPr>
            <m:t>=</m:t>
          </m:r>
          <m:nary>
            <m:naryPr>
              <m:chr m:val="∑"/>
              <m:limLoc m:val="undOvr"/>
              <m:supHide m:val="1"/>
              <m:ctrlPr>
                <w:rPr>
                  <w:rFonts w:ascii="Cambria Math" w:hAnsi="Cambria Math"/>
                  <w:lang w:val="en-US"/>
                </w:rPr>
              </m:ctrlPr>
            </m:naryPr>
            <m:sub>
              <m:r>
                <w:rPr>
                  <w:rFonts w:ascii="Cambria Math" w:hAnsi="Cambria Math"/>
                  <w:lang w:val="en-US"/>
                </w:rPr>
                <m:t>c</m:t>
              </m:r>
            </m:sub>
            <m:sup/>
            <m:e>
              <m:sSub>
                <m:sSubPr>
                  <m:ctrlPr>
                    <w:rPr>
                      <w:rFonts w:ascii="Cambria Math" w:hAnsi="Cambria Math"/>
                      <w:lang w:val="en-US"/>
                    </w:rPr>
                  </m:ctrlPr>
                </m:sSubPr>
                <m:e>
                  <m:r>
                    <m:rPr>
                      <m:sty m:val="p"/>
                    </m:rPr>
                    <w:rPr>
                      <w:rFonts w:ascii="Cambria Math" w:hAnsi="Cambria Math"/>
                      <w:lang w:val="en-US"/>
                    </w:rPr>
                    <m:t>max⁡(0,∆</m:t>
                  </m:r>
                  <m:r>
                    <w:rPr>
                      <w:rFonts w:ascii="Cambria Math" w:hAnsi="Cambria Math"/>
                      <w:lang w:val="en-US"/>
                    </w:rPr>
                    <m:t>MNI</m:t>
                  </m:r>
                </m:e>
                <m:sub>
                  <m:r>
                    <w:rPr>
                      <w:rFonts w:ascii="Cambria Math" w:hAnsi="Cambria Math"/>
                      <w:lang w:val="en-US"/>
                    </w:rPr>
                    <m:t>i</m:t>
                  </m:r>
                  <m:r>
                    <m:rPr>
                      <m:sty m:val="p"/>
                    </m:rPr>
                    <w:rPr>
                      <w:rFonts w:ascii="Cambria Math" w:hAnsi="Cambria Math"/>
                      <w:lang w:val="en-US"/>
                    </w:rPr>
                    <m:t>,</m:t>
                  </m:r>
                  <m:r>
                    <w:rPr>
                      <w:rFonts w:ascii="Cambria Math" w:hAnsi="Cambria Math"/>
                      <w:lang w:val="en-US"/>
                    </w:rPr>
                    <m:t>c</m:t>
                  </m:r>
                </m:sub>
              </m:sSub>
              <m:r>
                <m:rPr>
                  <m:sty m:val="p"/>
                </m:rPr>
                <w:rPr>
                  <w:rFonts w:ascii="Cambria Math" w:hAnsi="Cambria Math"/>
                  <w:lang w:val="en-US"/>
                </w:rPr>
                <m:t>)</m:t>
              </m:r>
            </m:e>
          </m:nary>
        </m:oMath>
      </m:oMathPara>
    </w:p>
    <w:p w14:paraId="28538925" w14:textId="24E6DAD6" w:rsidR="00FF4901" w:rsidRDefault="00FF4901" w:rsidP="00325463">
      <w:pPr>
        <w:pStyle w:val="Prrafodelista"/>
        <w:numPr>
          <w:ilvl w:val="1"/>
          <w:numId w:val="23"/>
        </w:numPr>
        <w:ind w:left="567" w:hanging="283"/>
      </w:pPr>
      <w:r>
        <w:t xml:space="preserve">Obtener el escenario </w:t>
      </w:r>
      <m:oMath>
        <m:r>
          <w:rPr>
            <w:rFonts w:ascii="Cambria Math" w:hAnsi="Cambria Math"/>
          </w:rPr>
          <m:t>i</m:t>
        </m:r>
      </m:oMath>
      <w:r>
        <w:t xml:space="preserve"> en el cual se registra la pérdida máxima. Esta definirá el MNI</w:t>
      </w:r>
    </w:p>
    <w:p w14:paraId="27C10E7C" w14:textId="77777777" w:rsidR="00FF4901" w:rsidRDefault="00FF4901" w:rsidP="00A75EBC">
      <w:pPr>
        <w:pStyle w:val="Prrafodelista"/>
      </w:pPr>
    </w:p>
    <w:p w14:paraId="15CC7120" w14:textId="055B0CCD" w:rsidR="006C2199" w:rsidRPr="00FA668A" w:rsidRDefault="00FF4901" w:rsidP="00FA668A">
      <m:oMathPara>
        <m:oMath>
          <m:r>
            <m:rPr>
              <m:sty m:val="p"/>
            </m:rPr>
            <w:rPr>
              <w:rFonts w:ascii="Cambria Math" w:hAnsi="Cambria Math"/>
            </w:rPr>
            <m:t xml:space="preserve"> </m:t>
          </m:r>
          <m:r>
            <w:rPr>
              <w:rFonts w:ascii="Cambria Math" w:hAnsi="Cambria Math"/>
              <w:lang w:val="en-US"/>
            </w:rPr>
            <m:t>MNI</m:t>
          </m:r>
          <m:r>
            <m:rPr>
              <m:sty m:val="p"/>
            </m:rPr>
            <w:rPr>
              <w:rFonts w:ascii="Cambria Math" w:hAnsi="Cambria Math"/>
              <w:lang w:val="en-US"/>
            </w:rPr>
            <m:t xml:space="preserve">= </m:t>
          </m:r>
          <m:func>
            <m:funcPr>
              <m:ctrlPr>
                <w:rPr>
                  <w:rFonts w:ascii="Cambria Math" w:hAnsi="Cambria Math"/>
                  <w:lang w:val="en-US"/>
                </w:rPr>
              </m:ctrlPr>
            </m:funcPr>
            <m:fName>
              <m:limLow>
                <m:limLowPr>
                  <m:ctrlPr>
                    <w:rPr>
                      <w:rFonts w:ascii="Cambria Math" w:hAnsi="Cambria Math"/>
                      <w:lang w:val="en-US"/>
                    </w:rPr>
                  </m:ctrlPr>
                </m:limLowPr>
                <m:e>
                  <m:r>
                    <m:rPr>
                      <m:sty m:val="p"/>
                    </m:rPr>
                    <w:rPr>
                      <w:rFonts w:ascii="Cambria Math" w:hAnsi="Cambria Math"/>
                      <w:lang w:val="en-US"/>
                    </w:rPr>
                    <m:t>max</m:t>
                  </m:r>
                </m:e>
                <m:lim>
                  <m:r>
                    <w:rPr>
                      <w:rFonts w:ascii="Cambria Math" w:hAnsi="Cambria Math"/>
                      <w:lang w:val="en-US"/>
                    </w:rPr>
                    <m:t>i</m:t>
                  </m:r>
                  <m:r>
                    <m:rPr>
                      <m:sty m:val="p"/>
                    </m:rPr>
                    <w:rPr>
                      <w:rFonts w:ascii="Cambria Math" w:hAnsi="Cambria Math"/>
                      <w:lang w:val="en-US"/>
                    </w:rPr>
                    <m:t>∈(1,2)</m:t>
                  </m:r>
                </m:lim>
              </m:limLow>
            </m:fName>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MNI</m:t>
                  </m:r>
                </m:e>
                <m:sub>
                  <m:r>
                    <w:rPr>
                      <w:rFonts w:ascii="Cambria Math" w:hAnsi="Cambria Math"/>
                      <w:lang w:val="en-US"/>
                    </w:rPr>
                    <m:t>i</m:t>
                  </m:r>
                </m:sub>
              </m:sSub>
            </m:e>
          </m:func>
        </m:oMath>
      </m:oMathPara>
    </w:p>
    <w:sectPr w:rsidR="006C2199" w:rsidRPr="00FA668A" w:rsidSect="00B93C86">
      <w:headerReference w:type="default" r:id="rId11"/>
      <w:footerReference w:type="default" r:id="rId12"/>
      <w:type w:val="continuous"/>
      <w:pgSz w:w="12240" w:h="20160" w:code="5"/>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29486" w14:textId="77777777" w:rsidR="00E41B2D" w:rsidRDefault="00E41B2D" w:rsidP="00A75EBC">
      <w:r>
        <w:separator/>
      </w:r>
    </w:p>
  </w:endnote>
  <w:endnote w:type="continuationSeparator" w:id="0">
    <w:p w14:paraId="628B2394" w14:textId="77777777" w:rsidR="00E41B2D" w:rsidRDefault="00E41B2D" w:rsidP="00A75EBC">
      <w:r>
        <w:continuationSeparator/>
      </w:r>
    </w:p>
  </w:endnote>
  <w:endnote w:type="continuationNotice" w:id="1">
    <w:p w14:paraId="5F78AC6B" w14:textId="77777777" w:rsidR="00E41B2D" w:rsidRDefault="00E41B2D" w:rsidP="00A75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968745"/>
      <w:docPartObj>
        <w:docPartGallery w:val="Page Numbers (Bottom of Page)"/>
        <w:docPartUnique/>
      </w:docPartObj>
    </w:sdtPr>
    <w:sdtEndPr/>
    <w:sdtContent>
      <w:p w14:paraId="573B8D1D" w14:textId="77777777" w:rsidR="004005AA" w:rsidRDefault="004005AA" w:rsidP="003E2BAB">
        <w:pPr>
          <w:pStyle w:val="Piedepgina"/>
          <w:tabs>
            <w:tab w:val="right" w:pos="8789"/>
          </w:tabs>
        </w:pPr>
      </w:p>
      <w:p w14:paraId="3B5AA5E3" w14:textId="4C403B9B" w:rsidR="003E2BAB" w:rsidRDefault="003E2BAB" w:rsidP="003E2BAB">
        <w:pPr>
          <w:pStyle w:val="Piedepgina"/>
          <w:tabs>
            <w:tab w:val="right" w:pos="8789"/>
          </w:tabs>
          <w:rPr>
            <w:b/>
          </w:rPr>
        </w:pPr>
        <w:r>
          <w:rPr>
            <w:b/>
          </w:rPr>
          <w:t xml:space="preserve">Circular Externa   </w:t>
        </w:r>
        <w:r w:rsidR="00FF512B">
          <w:rPr>
            <w:b/>
          </w:rPr>
          <w:t xml:space="preserve">   </w:t>
        </w:r>
        <w:r>
          <w:rPr>
            <w:b/>
          </w:rPr>
          <w:t xml:space="preserve">   de 202</w:t>
        </w:r>
        <w:r w:rsidR="00FF512B">
          <w:rPr>
            <w:b/>
          </w:rPr>
          <w:t>2</w:t>
        </w:r>
        <w:r>
          <w:rPr>
            <w:b/>
          </w:rPr>
          <w:tab/>
          <w:t xml:space="preserve">                    </w:t>
        </w:r>
        <w:r>
          <w:rPr>
            <w:b/>
          </w:rPr>
          <w:tab/>
        </w:r>
        <w:r w:rsidR="00FF512B">
          <w:rPr>
            <w:b/>
          </w:rPr>
          <w:t>XXX</w:t>
        </w:r>
        <w:r>
          <w:rPr>
            <w:b/>
          </w:rPr>
          <w:t xml:space="preserve"> de 202</w:t>
        </w:r>
        <w:r w:rsidR="00FF512B">
          <w:rPr>
            <w:b/>
          </w:rPr>
          <w:t>2</w:t>
        </w:r>
      </w:p>
      <w:p w14:paraId="1F9AC51E" w14:textId="77777777" w:rsidR="003E2BAB" w:rsidRPr="00AD73C8" w:rsidRDefault="003E2BAB" w:rsidP="003E2BAB">
        <w:pPr>
          <w:rPr>
            <w:b/>
            <w:sz w:val="20"/>
            <w:szCs w:val="20"/>
          </w:rPr>
        </w:pPr>
      </w:p>
      <w:p w14:paraId="7E468A24" w14:textId="0F88C699" w:rsidR="005F65EA" w:rsidRDefault="00E41B2D" w:rsidP="00A75EBC">
        <w:pPr>
          <w:pStyle w:val="Piedepgina"/>
        </w:pPr>
      </w:p>
    </w:sdtContent>
  </w:sdt>
  <w:p w14:paraId="732E7F7C" w14:textId="77777777" w:rsidR="005F65EA" w:rsidRDefault="005F65EA" w:rsidP="00A75EBC">
    <w:pPr>
      <w:pStyle w:val="Piedepgina"/>
    </w:pPr>
  </w:p>
  <w:p w14:paraId="59DDB45A" w14:textId="77777777" w:rsidR="005F65EA" w:rsidRDefault="005F65EA" w:rsidP="00A75E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0901C" w14:textId="77777777" w:rsidR="00E41B2D" w:rsidRDefault="00E41B2D" w:rsidP="00A75EBC">
      <w:r>
        <w:separator/>
      </w:r>
    </w:p>
  </w:footnote>
  <w:footnote w:type="continuationSeparator" w:id="0">
    <w:p w14:paraId="27603FD2" w14:textId="77777777" w:rsidR="00E41B2D" w:rsidRDefault="00E41B2D" w:rsidP="00A75EBC">
      <w:r>
        <w:continuationSeparator/>
      </w:r>
    </w:p>
  </w:footnote>
  <w:footnote w:type="continuationNotice" w:id="1">
    <w:p w14:paraId="07F06A3A" w14:textId="77777777" w:rsidR="00E41B2D" w:rsidRDefault="00E41B2D" w:rsidP="00A75EBC"/>
  </w:footnote>
  <w:footnote w:id="2">
    <w:p w14:paraId="2933E3CF" w14:textId="29C13AFE" w:rsidR="005F65EA" w:rsidRPr="00503F37" w:rsidRDefault="005F65EA" w:rsidP="0042479E">
      <w:pPr>
        <w:pStyle w:val="Textonotapie"/>
      </w:pPr>
      <w:r w:rsidRPr="00503F37">
        <w:rPr>
          <w:rStyle w:val="Refdenotaalpie"/>
        </w:rPr>
        <w:footnoteRef/>
      </w:r>
      <w:r w:rsidRPr="00503F37">
        <w:t xml:space="preserve"> Los factores de descuento </w:t>
      </w:r>
      <w:r w:rsidRPr="0042479E">
        <w:t>debe</w:t>
      </w:r>
      <w:r>
        <w:t>rá</w:t>
      </w:r>
      <w:r w:rsidRPr="0042479E">
        <w:t>n</w:t>
      </w:r>
      <w:r w:rsidRPr="00503F37">
        <w:t xml:space="preserve"> ser represe</w:t>
      </w:r>
      <w:r>
        <w:t xml:space="preserve">ntativos de la tasa </w:t>
      </w:r>
      <w:proofErr w:type="gramStart"/>
      <w:r>
        <w:t>cero cupón</w:t>
      </w:r>
      <w:proofErr w:type="gram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7C21" w14:textId="77777777" w:rsidR="005F65EA" w:rsidRDefault="005F65EA" w:rsidP="00A75EBC">
    <w:pPr>
      <w:pStyle w:val="Encabezado"/>
    </w:pPr>
    <w:r w:rsidRPr="003573BA">
      <w:t>SUPERINTENCIA FINANCIERA DE COLOMBIA</w:t>
    </w:r>
  </w:p>
  <w:p w14:paraId="4C4BC89E" w14:textId="77777777" w:rsidR="005F65EA" w:rsidRDefault="005F65EA" w:rsidP="00A75EBC">
    <w:pPr>
      <w:pStyle w:val="Encabezado"/>
    </w:pPr>
  </w:p>
  <w:p w14:paraId="125C2BF2" w14:textId="77777777" w:rsidR="005F65EA" w:rsidRDefault="005F65EA" w:rsidP="00A75EBC">
    <w:pPr>
      <w:pStyle w:val="Encabezado"/>
    </w:pPr>
    <w:r>
      <w:t>CAPÍTULO XXXI SISTEMA INTEGRAL DE ADMINISTRACIÓN DE RIESGOS (SIAR)</w:t>
    </w:r>
  </w:p>
  <w:p w14:paraId="750E8E85" w14:textId="5393A3BB" w:rsidR="005F65EA" w:rsidRDefault="005F65EA" w:rsidP="00A75EBC">
    <w:pPr>
      <w:pStyle w:val="Encabezado"/>
    </w:pPr>
    <w:r w:rsidRPr="001A3E3E">
      <w:t>Página</w:t>
    </w:r>
    <w:r>
      <w:t xml:space="preserve"> </w:t>
    </w:r>
    <w:r w:rsidRPr="001A3E3E">
      <w:fldChar w:fldCharType="begin"/>
    </w:r>
    <w:r w:rsidRPr="001A3E3E">
      <w:instrText>PAGE   \* MERGEFORMAT</w:instrText>
    </w:r>
    <w:r w:rsidRPr="001A3E3E">
      <w:fldChar w:fldCharType="separate"/>
    </w:r>
    <w:r w:rsidR="001673CB">
      <w:rPr>
        <w:noProof/>
      </w:rPr>
      <w:t>13</w:t>
    </w:r>
    <w:r w:rsidRPr="001A3E3E">
      <w:fldChar w:fldCharType="end"/>
    </w:r>
  </w:p>
  <w:p w14:paraId="2BFB3803" w14:textId="6256F07A" w:rsidR="005F65EA" w:rsidRPr="00AC156A" w:rsidRDefault="005F65EA" w:rsidP="00A75E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33FC"/>
    <w:multiLevelType w:val="multilevel"/>
    <w:tmpl w:val="054A4760"/>
    <w:lvl w:ilvl="0">
      <w:start w:val="1"/>
      <w:numFmt w:val="lowerRoman"/>
      <w:lvlText w:val="%1."/>
      <w:lvlJc w:val="right"/>
      <w:pPr>
        <w:tabs>
          <w:tab w:val="num" w:pos="720"/>
        </w:tabs>
        <w:ind w:left="720" w:hanging="360"/>
      </w:pPr>
      <w:rPr>
        <w:rFonts w:ascii="Arial" w:eastAsiaTheme="minorHAnsi" w:hAnsi="Arial" w:cs="Arial"/>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94DDE"/>
    <w:multiLevelType w:val="hybridMultilevel"/>
    <w:tmpl w:val="0D58542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C7A4FBB"/>
    <w:multiLevelType w:val="hybridMultilevel"/>
    <w:tmpl w:val="E272CB76"/>
    <w:lvl w:ilvl="0" w:tplc="240A001B">
      <w:start w:val="1"/>
      <w:numFmt w:val="lowerRoman"/>
      <w:lvlText w:val="%1."/>
      <w:lvlJc w:val="right"/>
      <w:pPr>
        <w:ind w:left="720" w:hanging="360"/>
      </w:p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9E6D49"/>
    <w:multiLevelType w:val="hybridMultilevel"/>
    <w:tmpl w:val="CDD4E01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7A8353F"/>
    <w:multiLevelType w:val="hybridMultilevel"/>
    <w:tmpl w:val="E572D842"/>
    <w:lvl w:ilvl="0" w:tplc="1A62828E">
      <w:start w:val="1"/>
      <w:numFmt w:val="lowerRoman"/>
      <w:lvlText w:val="%1."/>
      <w:lvlJc w:val="right"/>
      <w:pPr>
        <w:ind w:left="502" w:hanging="360"/>
      </w:pPr>
      <w:rPr>
        <w:rFonts w:ascii="Arial" w:eastAsiaTheme="minorHAnsi" w:hAnsi="Arial" w:cs="Arial"/>
      </w:rPr>
    </w:lvl>
    <w:lvl w:ilvl="1" w:tplc="240A0019">
      <w:start w:val="1"/>
      <w:numFmt w:val="lowerLetter"/>
      <w:lvlText w:val="%2."/>
      <w:lvlJc w:val="left"/>
      <w:pPr>
        <w:ind w:left="1222" w:hanging="360"/>
      </w:pPr>
    </w:lvl>
    <w:lvl w:ilvl="2" w:tplc="FCC2328A">
      <w:start w:val="1"/>
      <w:numFmt w:val="lowerRoman"/>
      <w:lvlText w:val="%3."/>
      <w:lvlJc w:val="right"/>
      <w:pPr>
        <w:ind w:left="1942" w:hanging="180"/>
      </w:pPr>
      <w:rPr>
        <w:rFonts w:ascii="Arial" w:eastAsiaTheme="minorHAnsi" w:hAnsi="Arial" w:cs="Arial"/>
      </w:r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5"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21F15890"/>
    <w:multiLevelType w:val="hybridMultilevel"/>
    <w:tmpl w:val="AD400C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37029CD"/>
    <w:multiLevelType w:val="hybridMultilevel"/>
    <w:tmpl w:val="C012F5BE"/>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9E024D1"/>
    <w:multiLevelType w:val="hybridMultilevel"/>
    <w:tmpl w:val="574C62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29B32C2"/>
    <w:multiLevelType w:val="multilevel"/>
    <w:tmpl w:val="94761AC2"/>
    <w:lvl w:ilvl="0">
      <w:start w:val="1"/>
      <w:numFmt w:val="bullet"/>
      <w:lvlText w:val=""/>
      <w:lvlJc w:val="left"/>
      <w:pPr>
        <w:ind w:left="360" w:hanging="360"/>
      </w:pPr>
      <w:rPr>
        <w:rFonts w:ascii="Symbol" w:hAnsi="Symbol" w:hint="default"/>
      </w:rPr>
    </w:lvl>
    <w:lvl w:ilvl="1">
      <w:start w:val="3"/>
      <w:numFmt w:val="decimal"/>
      <w:isLgl/>
      <w:lvlText w:val="%1.%2"/>
      <w:lvlJc w:val="left"/>
      <w:pPr>
        <w:ind w:left="849" w:hanging="495"/>
      </w:pPr>
      <w:rPr>
        <w:rFonts w:eastAsiaTheme="majorEastAsia" w:hint="default"/>
      </w:rPr>
    </w:lvl>
    <w:lvl w:ilvl="2">
      <w:start w:val="1"/>
      <w:numFmt w:val="decimal"/>
      <w:isLgl/>
      <w:lvlText w:val="%1.%2.%3"/>
      <w:lvlJc w:val="left"/>
      <w:pPr>
        <w:ind w:left="1428" w:hanging="720"/>
      </w:pPr>
      <w:rPr>
        <w:rFonts w:eastAsiaTheme="majorEastAsia" w:hint="default"/>
      </w:rPr>
    </w:lvl>
    <w:lvl w:ilvl="3">
      <w:start w:val="1"/>
      <w:numFmt w:val="decimal"/>
      <w:isLgl/>
      <w:lvlText w:val="%1.%2.%3.%4"/>
      <w:lvlJc w:val="left"/>
      <w:pPr>
        <w:ind w:left="1782" w:hanging="720"/>
      </w:pPr>
      <w:rPr>
        <w:rFonts w:eastAsiaTheme="majorEastAsia" w:hint="default"/>
      </w:rPr>
    </w:lvl>
    <w:lvl w:ilvl="4">
      <w:start w:val="1"/>
      <w:numFmt w:val="decimal"/>
      <w:isLgl/>
      <w:lvlText w:val="%1.%2.%3.%4.%5"/>
      <w:lvlJc w:val="left"/>
      <w:pPr>
        <w:ind w:left="2496" w:hanging="1080"/>
      </w:pPr>
      <w:rPr>
        <w:rFonts w:eastAsiaTheme="majorEastAsia" w:hint="default"/>
      </w:rPr>
    </w:lvl>
    <w:lvl w:ilvl="5">
      <w:start w:val="1"/>
      <w:numFmt w:val="decimal"/>
      <w:isLgl/>
      <w:lvlText w:val="%1.%2.%3.%4.%5.%6"/>
      <w:lvlJc w:val="left"/>
      <w:pPr>
        <w:ind w:left="2850" w:hanging="1080"/>
      </w:pPr>
      <w:rPr>
        <w:rFonts w:eastAsiaTheme="majorEastAsia" w:hint="default"/>
      </w:rPr>
    </w:lvl>
    <w:lvl w:ilvl="6">
      <w:start w:val="1"/>
      <w:numFmt w:val="decimal"/>
      <w:isLgl/>
      <w:lvlText w:val="%1.%2.%3.%4.%5.%6.%7"/>
      <w:lvlJc w:val="left"/>
      <w:pPr>
        <w:ind w:left="3564" w:hanging="1440"/>
      </w:pPr>
      <w:rPr>
        <w:rFonts w:eastAsiaTheme="majorEastAsia" w:hint="default"/>
      </w:rPr>
    </w:lvl>
    <w:lvl w:ilvl="7">
      <w:start w:val="1"/>
      <w:numFmt w:val="decimal"/>
      <w:isLgl/>
      <w:lvlText w:val="%1.%2.%3.%4.%5.%6.%7.%8"/>
      <w:lvlJc w:val="left"/>
      <w:pPr>
        <w:ind w:left="3918" w:hanging="1440"/>
      </w:pPr>
      <w:rPr>
        <w:rFonts w:eastAsiaTheme="majorEastAsia" w:hint="default"/>
      </w:rPr>
    </w:lvl>
    <w:lvl w:ilvl="8">
      <w:start w:val="1"/>
      <w:numFmt w:val="decimal"/>
      <w:isLgl/>
      <w:lvlText w:val="%1.%2.%3.%4.%5.%6.%7.%8.%9"/>
      <w:lvlJc w:val="left"/>
      <w:pPr>
        <w:ind w:left="4272" w:hanging="1440"/>
      </w:pPr>
      <w:rPr>
        <w:rFonts w:eastAsiaTheme="majorEastAsia" w:hint="default"/>
      </w:rPr>
    </w:lvl>
  </w:abstractNum>
  <w:abstractNum w:abstractNumId="10" w15:restartNumberingAfterBreak="0">
    <w:nsid w:val="43346A15"/>
    <w:multiLevelType w:val="hybridMultilevel"/>
    <w:tmpl w:val="0BDA05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7665AEA"/>
    <w:multiLevelType w:val="hybridMultilevel"/>
    <w:tmpl w:val="FD78B29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99F23AC"/>
    <w:multiLevelType w:val="hybridMultilevel"/>
    <w:tmpl w:val="818E96BA"/>
    <w:lvl w:ilvl="0" w:tplc="240A001B">
      <w:start w:val="1"/>
      <w:numFmt w:val="low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4EA96B93"/>
    <w:multiLevelType w:val="hybridMultilevel"/>
    <w:tmpl w:val="829C2C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4FBF07F9"/>
    <w:multiLevelType w:val="hybridMultilevel"/>
    <w:tmpl w:val="8DD25E6C"/>
    <w:lvl w:ilvl="0" w:tplc="974015FA">
      <w:start w:val="1"/>
      <w:numFmt w:val="lowerRoman"/>
      <w:lvlText w:val="%1."/>
      <w:lvlJc w:val="left"/>
      <w:pPr>
        <w:ind w:left="720" w:hanging="360"/>
      </w:pPr>
      <w:rPr>
        <w:rFonts w:ascii="Arial" w:eastAsiaTheme="minorHAnsi"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08662A9"/>
    <w:multiLevelType w:val="hybridMultilevel"/>
    <w:tmpl w:val="72BC27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57E15F3"/>
    <w:multiLevelType w:val="multilevel"/>
    <w:tmpl w:val="54E0AF4C"/>
    <w:lvl w:ilvl="0">
      <w:start w:val="1"/>
      <w:numFmt w:val="lowerRoman"/>
      <w:lvlText w:val="%1."/>
      <w:lvlJc w:val="left"/>
      <w:pPr>
        <w:tabs>
          <w:tab w:val="num" w:pos="720"/>
        </w:tabs>
        <w:ind w:left="720" w:hanging="360"/>
      </w:pPr>
      <w:rPr>
        <w:rFonts w:ascii="Arial" w:eastAsiaTheme="minorHAnsi" w:hAnsi="Arial" w:cs="Arial"/>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7C136C"/>
    <w:multiLevelType w:val="hybridMultilevel"/>
    <w:tmpl w:val="3D649F3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70406D0"/>
    <w:multiLevelType w:val="hybridMultilevel"/>
    <w:tmpl w:val="D3C247E4"/>
    <w:lvl w:ilvl="0" w:tplc="6DB0540E">
      <w:start w:val="1"/>
      <w:numFmt w:val="lowerLetter"/>
      <w:lvlText w:val="%1)"/>
      <w:lvlJc w:val="left"/>
      <w:pPr>
        <w:ind w:left="720" w:hanging="720"/>
      </w:pPr>
      <w:rPr>
        <w:rFonts w:ascii="Arial" w:eastAsiaTheme="minorHAnsi"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587C5A4E"/>
    <w:multiLevelType w:val="multilevel"/>
    <w:tmpl w:val="532401AC"/>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9CC420E"/>
    <w:multiLevelType w:val="hybridMultilevel"/>
    <w:tmpl w:val="BD946EBA"/>
    <w:lvl w:ilvl="0" w:tplc="7D5E03F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BAD32B4"/>
    <w:multiLevelType w:val="hybridMultilevel"/>
    <w:tmpl w:val="0F0EE6E2"/>
    <w:lvl w:ilvl="0" w:tplc="5F3AA742">
      <w:start w:val="1"/>
      <w:numFmt w:val="decimal"/>
      <w:lvlText w:val="%1."/>
      <w:lvlJc w:val="left"/>
      <w:pPr>
        <w:ind w:left="360" w:hanging="360"/>
      </w:pPr>
      <w:rPr>
        <w:rFonts w:ascii="Arial" w:eastAsiaTheme="minorHAnsi" w:hAnsi="Arial" w:cs="Arial"/>
      </w:rPr>
    </w:lvl>
    <w:lvl w:ilvl="1" w:tplc="240A0003">
      <w:start w:val="1"/>
      <w:numFmt w:val="bullet"/>
      <w:lvlText w:val="o"/>
      <w:lvlJc w:val="left"/>
      <w:pPr>
        <w:ind w:left="1080" w:hanging="360"/>
      </w:pPr>
      <w:rPr>
        <w:rFonts w:ascii="Courier New" w:hAnsi="Courier New" w:cs="Courier New" w:hint="default"/>
      </w:rPr>
    </w:lvl>
    <w:lvl w:ilvl="2" w:tplc="EF8EA6D0">
      <w:start w:val="1"/>
      <w:numFmt w:val="lowerRoman"/>
      <w:lvlText w:val="%3."/>
      <w:lvlJc w:val="left"/>
      <w:pPr>
        <w:ind w:left="2160" w:hanging="720"/>
      </w:pPr>
      <w:rPr>
        <w:rFont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5BE64335"/>
    <w:multiLevelType w:val="hybridMultilevel"/>
    <w:tmpl w:val="8A0C8D6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5D50054D"/>
    <w:multiLevelType w:val="hybridMultilevel"/>
    <w:tmpl w:val="39969E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E6F1A6D"/>
    <w:multiLevelType w:val="multilevel"/>
    <w:tmpl w:val="A9001928"/>
    <w:lvl w:ilvl="0">
      <w:start w:val="1"/>
      <w:numFmt w:val="decimal"/>
      <w:lvlText w:val="%1."/>
      <w:lvlJc w:val="left"/>
      <w:pPr>
        <w:ind w:left="405" w:hanging="360"/>
      </w:pPr>
      <w:rPr>
        <w:rFonts w:hint="default"/>
      </w:rPr>
    </w:lvl>
    <w:lvl w:ilvl="1">
      <w:start w:val="5"/>
      <w:numFmt w:val="decimal"/>
      <w:isLgl/>
      <w:lvlText w:val="%1.%2"/>
      <w:lvlJc w:val="left"/>
      <w:pPr>
        <w:ind w:left="495" w:hanging="450"/>
      </w:pPr>
      <w:rPr>
        <w:rFonts w:hint="default"/>
      </w:rPr>
    </w:lvl>
    <w:lvl w:ilvl="2">
      <w:start w:val="4"/>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765" w:hanging="72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125" w:hanging="108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485" w:hanging="1440"/>
      </w:pPr>
      <w:rPr>
        <w:rFonts w:hint="default"/>
      </w:rPr>
    </w:lvl>
  </w:abstractNum>
  <w:abstractNum w:abstractNumId="26" w15:restartNumberingAfterBreak="0">
    <w:nsid w:val="5EE12E44"/>
    <w:multiLevelType w:val="hybridMultilevel"/>
    <w:tmpl w:val="B9160F90"/>
    <w:lvl w:ilvl="0" w:tplc="240A000F">
      <w:start w:val="1"/>
      <w:numFmt w:val="decimal"/>
      <w:lvlText w:val="%1."/>
      <w:lvlJc w:val="left"/>
      <w:pPr>
        <w:ind w:left="360" w:hanging="360"/>
      </w:pPr>
    </w:lvl>
    <w:lvl w:ilvl="1" w:tplc="974015FA">
      <w:start w:val="1"/>
      <w:numFmt w:val="lowerRoman"/>
      <w:lvlText w:val="%2."/>
      <w:lvlJc w:val="left"/>
      <w:pPr>
        <w:ind w:left="1080" w:hanging="360"/>
      </w:pPr>
      <w:rPr>
        <w:rFonts w:ascii="Arial" w:eastAsiaTheme="minorHAnsi" w:hAnsi="Arial" w:cs="Arial"/>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5F2B3C18"/>
    <w:multiLevelType w:val="hybridMultilevel"/>
    <w:tmpl w:val="7E48FA3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5F5208E9"/>
    <w:multiLevelType w:val="hybridMultilevel"/>
    <w:tmpl w:val="E7264B8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F9D445C"/>
    <w:multiLevelType w:val="hybridMultilevel"/>
    <w:tmpl w:val="0974EB50"/>
    <w:lvl w:ilvl="0" w:tplc="240A000F">
      <w:start w:val="1"/>
      <w:numFmt w:val="decimal"/>
      <w:lvlText w:val="%1."/>
      <w:lvlJc w:val="lef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18F70E6"/>
    <w:multiLevelType w:val="hybridMultilevel"/>
    <w:tmpl w:val="CEC4BA04"/>
    <w:lvl w:ilvl="0" w:tplc="4C780296">
      <w:start w:val="1"/>
      <w:numFmt w:val="lowerRoman"/>
      <w:lvlText w:val="%1)"/>
      <w:lvlJc w:val="left"/>
      <w:pPr>
        <w:ind w:left="720" w:hanging="360"/>
      </w:pPr>
      <w:rPr>
        <w:rFonts w:hint="default"/>
      </w:rPr>
    </w:lvl>
    <w:lvl w:ilvl="1" w:tplc="4C780296">
      <w:start w:val="1"/>
      <w:numFmt w:val="lowerRoman"/>
      <w:lvlText w:val="%2)"/>
      <w:lvlJc w:val="left"/>
      <w:pPr>
        <w:ind w:left="1800" w:hanging="720"/>
      </w:pPr>
      <w:rPr>
        <w:rFont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63E1A42"/>
    <w:multiLevelType w:val="hybridMultilevel"/>
    <w:tmpl w:val="0302A0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C4C7D5A"/>
    <w:multiLevelType w:val="hybridMultilevel"/>
    <w:tmpl w:val="E87EC2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F1E296D"/>
    <w:multiLevelType w:val="hybridMultilevel"/>
    <w:tmpl w:val="02BE9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2C410D5"/>
    <w:multiLevelType w:val="hybridMultilevel"/>
    <w:tmpl w:val="BACE194E"/>
    <w:lvl w:ilvl="0" w:tplc="240A001B">
      <w:start w:val="1"/>
      <w:numFmt w:val="lowerRoman"/>
      <w:lvlText w:val="%1."/>
      <w:lvlJc w:val="righ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73C1050B"/>
    <w:multiLevelType w:val="hybridMultilevel"/>
    <w:tmpl w:val="0958B2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74996250"/>
    <w:multiLevelType w:val="hybridMultilevel"/>
    <w:tmpl w:val="5466636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768C3928"/>
    <w:multiLevelType w:val="multilevel"/>
    <w:tmpl w:val="94761AC2"/>
    <w:lvl w:ilvl="0">
      <w:start w:val="1"/>
      <w:numFmt w:val="bullet"/>
      <w:lvlText w:val=""/>
      <w:lvlJc w:val="left"/>
      <w:pPr>
        <w:ind w:left="786" w:hanging="360"/>
      </w:pPr>
      <w:rPr>
        <w:rFonts w:ascii="Symbol" w:hAnsi="Symbol" w:hint="default"/>
      </w:rPr>
    </w:lvl>
    <w:lvl w:ilvl="1">
      <w:start w:val="3"/>
      <w:numFmt w:val="decimal"/>
      <w:isLgl/>
      <w:lvlText w:val="%1.%2"/>
      <w:lvlJc w:val="left"/>
      <w:pPr>
        <w:ind w:left="1275" w:hanging="495"/>
      </w:pPr>
      <w:rPr>
        <w:rFonts w:eastAsiaTheme="majorEastAsia" w:hint="default"/>
      </w:rPr>
    </w:lvl>
    <w:lvl w:ilvl="2">
      <w:start w:val="1"/>
      <w:numFmt w:val="decimal"/>
      <w:isLgl/>
      <w:lvlText w:val="%1.%2.%3"/>
      <w:lvlJc w:val="left"/>
      <w:pPr>
        <w:ind w:left="1854" w:hanging="720"/>
      </w:pPr>
      <w:rPr>
        <w:rFonts w:eastAsiaTheme="majorEastAsia" w:hint="default"/>
      </w:rPr>
    </w:lvl>
    <w:lvl w:ilvl="3">
      <w:start w:val="1"/>
      <w:numFmt w:val="decimal"/>
      <w:isLgl/>
      <w:lvlText w:val="%1.%2.%3.%4"/>
      <w:lvlJc w:val="left"/>
      <w:pPr>
        <w:ind w:left="2208" w:hanging="720"/>
      </w:pPr>
      <w:rPr>
        <w:rFonts w:eastAsiaTheme="majorEastAsia" w:hint="default"/>
      </w:rPr>
    </w:lvl>
    <w:lvl w:ilvl="4">
      <w:start w:val="1"/>
      <w:numFmt w:val="decimal"/>
      <w:isLgl/>
      <w:lvlText w:val="%1.%2.%3.%4.%5"/>
      <w:lvlJc w:val="left"/>
      <w:pPr>
        <w:ind w:left="2922" w:hanging="1080"/>
      </w:pPr>
      <w:rPr>
        <w:rFonts w:eastAsiaTheme="majorEastAsia" w:hint="default"/>
      </w:rPr>
    </w:lvl>
    <w:lvl w:ilvl="5">
      <w:start w:val="1"/>
      <w:numFmt w:val="decimal"/>
      <w:isLgl/>
      <w:lvlText w:val="%1.%2.%3.%4.%5.%6"/>
      <w:lvlJc w:val="left"/>
      <w:pPr>
        <w:ind w:left="3276" w:hanging="1080"/>
      </w:pPr>
      <w:rPr>
        <w:rFonts w:eastAsiaTheme="majorEastAsia" w:hint="default"/>
      </w:rPr>
    </w:lvl>
    <w:lvl w:ilvl="6">
      <w:start w:val="1"/>
      <w:numFmt w:val="decimal"/>
      <w:isLgl/>
      <w:lvlText w:val="%1.%2.%3.%4.%5.%6.%7"/>
      <w:lvlJc w:val="left"/>
      <w:pPr>
        <w:ind w:left="3990" w:hanging="1440"/>
      </w:pPr>
      <w:rPr>
        <w:rFonts w:eastAsiaTheme="majorEastAsia" w:hint="default"/>
      </w:rPr>
    </w:lvl>
    <w:lvl w:ilvl="7">
      <w:start w:val="1"/>
      <w:numFmt w:val="decimal"/>
      <w:isLgl/>
      <w:lvlText w:val="%1.%2.%3.%4.%5.%6.%7.%8"/>
      <w:lvlJc w:val="left"/>
      <w:pPr>
        <w:ind w:left="4344" w:hanging="1440"/>
      </w:pPr>
      <w:rPr>
        <w:rFonts w:eastAsiaTheme="majorEastAsia" w:hint="default"/>
      </w:rPr>
    </w:lvl>
    <w:lvl w:ilvl="8">
      <w:start w:val="1"/>
      <w:numFmt w:val="decimal"/>
      <w:isLgl/>
      <w:lvlText w:val="%1.%2.%3.%4.%5.%6.%7.%8.%9"/>
      <w:lvlJc w:val="left"/>
      <w:pPr>
        <w:ind w:left="4698" w:hanging="1440"/>
      </w:pPr>
      <w:rPr>
        <w:rFonts w:eastAsiaTheme="majorEastAsia" w:hint="default"/>
      </w:rPr>
    </w:lvl>
  </w:abstractNum>
  <w:abstractNum w:abstractNumId="38" w15:restartNumberingAfterBreak="0">
    <w:nsid w:val="7AA263A4"/>
    <w:multiLevelType w:val="multilevel"/>
    <w:tmpl w:val="9692EB4E"/>
    <w:lvl w:ilvl="0">
      <w:start w:val="1"/>
      <w:numFmt w:val="decimal"/>
      <w:lvlText w:val="%1."/>
      <w:lvlJc w:val="left"/>
      <w:pPr>
        <w:ind w:left="360" w:hanging="360"/>
      </w:pPr>
      <w:rPr>
        <w:rFonts w:hint="default"/>
        <w:b/>
        <w:i w:val="0"/>
        <w:color w:val="auto"/>
        <w:sz w:val="18"/>
        <w:szCs w:val="18"/>
      </w:rPr>
    </w:lvl>
    <w:lvl w:ilvl="1">
      <w:start w:val="1"/>
      <w:numFmt w:val="decimal"/>
      <w:pStyle w:val="Ttulo1"/>
      <w:isLgl/>
      <w:lvlText w:val="%1.%2"/>
      <w:lvlJc w:val="left"/>
      <w:pPr>
        <w:ind w:left="360" w:hanging="360"/>
      </w:pPr>
      <w:rPr>
        <w:rFonts w:eastAsiaTheme="majorEastAsia" w:hint="default"/>
      </w:rPr>
    </w:lvl>
    <w:lvl w:ilvl="2">
      <w:start w:val="1"/>
      <w:numFmt w:val="decimal"/>
      <w:isLgl/>
      <w:lvlText w:val="%1.%2.%3"/>
      <w:lvlJc w:val="left"/>
      <w:pPr>
        <w:ind w:left="720" w:hanging="720"/>
      </w:pPr>
      <w:rPr>
        <w:rFonts w:eastAsiaTheme="majorEastAsia" w:hint="default"/>
      </w:rPr>
    </w:lvl>
    <w:lvl w:ilvl="3">
      <w:start w:val="1"/>
      <w:numFmt w:val="decimal"/>
      <w:isLgl/>
      <w:lvlText w:val="%1.%2.%3.%4"/>
      <w:lvlJc w:val="left"/>
      <w:pPr>
        <w:ind w:left="720" w:hanging="720"/>
      </w:pPr>
      <w:rPr>
        <w:rFonts w:eastAsiaTheme="majorEastAsia" w:hint="default"/>
      </w:rPr>
    </w:lvl>
    <w:lvl w:ilvl="4">
      <w:start w:val="1"/>
      <w:numFmt w:val="decimal"/>
      <w:isLgl/>
      <w:lvlText w:val="%1.%2.%3.%4.%5"/>
      <w:lvlJc w:val="left"/>
      <w:pPr>
        <w:ind w:left="720" w:hanging="720"/>
      </w:pPr>
      <w:rPr>
        <w:rFonts w:eastAsiaTheme="majorEastAsia" w:hint="default"/>
      </w:rPr>
    </w:lvl>
    <w:lvl w:ilvl="5">
      <w:start w:val="1"/>
      <w:numFmt w:val="decimal"/>
      <w:isLgl/>
      <w:lvlText w:val="%1.%2.%3.%4.%5.%6"/>
      <w:lvlJc w:val="left"/>
      <w:pPr>
        <w:ind w:left="1080" w:hanging="1080"/>
      </w:pPr>
      <w:rPr>
        <w:rFonts w:eastAsiaTheme="majorEastAsia" w:hint="default"/>
      </w:rPr>
    </w:lvl>
    <w:lvl w:ilvl="6">
      <w:start w:val="1"/>
      <w:numFmt w:val="decimal"/>
      <w:isLgl/>
      <w:lvlText w:val="%1.%2.%3.%4.%5.%6.%7"/>
      <w:lvlJc w:val="left"/>
      <w:pPr>
        <w:ind w:left="1080" w:hanging="1080"/>
      </w:pPr>
      <w:rPr>
        <w:rFonts w:eastAsiaTheme="majorEastAsia" w:hint="default"/>
      </w:rPr>
    </w:lvl>
    <w:lvl w:ilvl="7">
      <w:start w:val="1"/>
      <w:numFmt w:val="decimal"/>
      <w:isLgl/>
      <w:lvlText w:val="%1.%2.%3.%4.%5.%6.%7.%8"/>
      <w:lvlJc w:val="left"/>
      <w:pPr>
        <w:ind w:left="1440" w:hanging="1440"/>
      </w:pPr>
      <w:rPr>
        <w:rFonts w:eastAsiaTheme="majorEastAsia" w:hint="default"/>
      </w:rPr>
    </w:lvl>
    <w:lvl w:ilvl="8">
      <w:start w:val="1"/>
      <w:numFmt w:val="decimal"/>
      <w:isLgl/>
      <w:lvlText w:val="%1.%2.%3.%4.%5.%6.%7.%8.%9"/>
      <w:lvlJc w:val="left"/>
      <w:pPr>
        <w:ind w:left="1440" w:hanging="1440"/>
      </w:pPr>
      <w:rPr>
        <w:rFonts w:eastAsiaTheme="majorEastAsia" w:hint="default"/>
      </w:rPr>
    </w:lvl>
  </w:abstractNum>
  <w:abstractNum w:abstractNumId="39" w15:restartNumberingAfterBreak="0">
    <w:nsid w:val="7F8D156A"/>
    <w:multiLevelType w:val="hybridMultilevel"/>
    <w:tmpl w:val="F1CEF232"/>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0"/>
  </w:num>
  <w:num w:numId="2">
    <w:abstractNumId w:val="13"/>
  </w:num>
  <w:num w:numId="3">
    <w:abstractNumId w:val="8"/>
  </w:num>
  <w:num w:numId="4">
    <w:abstractNumId w:val="10"/>
  </w:num>
  <w:num w:numId="5">
    <w:abstractNumId w:val="24"/>
  </w:num>
  <w:num w:numId="6">
    <w:abstractNumId w:val="9"/>
  </w:num>
  <w:num w:numId="7">
    <w:abstractNumId w:val="33"/>
  </w:num>
  <w:num w:numId="8">
    <w:abstractNumId w:val="37"/>
  </w:num>
  <w:num w:numId="9">
    <w:abstractNumId w:val="22"/>
  </w:num>
  <w:num w:numId="10">
    <w:abstractNumId w:val="30"/>
  </w:num>
  <w:num w:numId="11">
    <w:abstractNumId w:val="0"/>
  </w:num>
  <w:num w:numId="12">
    <w:abstractNumId w:val="18"/>
  </w:num>
  <w:num w:numId="13">
    <w:abstractNumId w:val="39"/>
  </w:num>
  <w:num w:numId="14">
    <w:abstractNumId w:val="38"/>
  </w:num>
  <w:num w:numId="15">
    <w:abstractNumId w:val="1"/>
  </w:num>
  <w:num w:numId="16">
    <w:abstractNumId w:val="35"/>
  </w:num>
  <w:num w:numId="17">
    <w:abstractNumId w:val="7"/>
  </w:num>
  <w:num w:numId="18">
    <w:abstractNumId w:val="6"/>
  </w:num>
  <w:num w:numId="19">
    <w:abstractNumId w:val="25"/>
  </w:num>
  <w:num w:numId="20">
    <w:abstractNumId w:val="32"/>
  </w:num>
  <w:num w:numId="21">
    <w:abstractNumId w:val="36"/>
  </w:num>
  <w:num w:numId="22">
    <w:abstractNumId w:val="21"/>
  </w:num>
  <w:num w:numId="23">
    <w:abstractNumId w:val="26"/>
  </w:num>
  <w:num w:numId="24">
    <w:abstractNumId w:val="23"/>
  </w:num>
  <w:num w:numId="25">
    <w:abstractNumId w:val="15"/>
  </w:num>
  <w:num w:numId="26">
    <w:abstractNumId w:val="16"/>
  </w:num>
  <w:num w:numId="27">
    <w:abstractNumId w:val="31"/>
  </w:num>
  <w:num w:numId="28">
    <w:abstractNumId w:val="17"/>
  </w:num>
  <w:num w:numId="29">
    <w:abstractNumId w:val="5"/>
  </w:num>
  <w:num w:numId="30">
    <w:abstractNumId w:val="29"/>
  </w:num>
  <w:num w:numId="31">
    <w:abstractNumId w:val="2"/>
  </w:num>
  <w:num w:numId="32">
    <w:abstractNumId w:val="38"/>
  </w:num>
  <w:num w:numId="33">
    <w:abstractNumId w:val="27"/>
  </w:num>
  <w:num w:numId="34">
    <w:abstractNumId w:val="38"/>
  </w:num>
  <w:num w:numId="35">
    <w:abstractNumId w:val="19"/>
  </w:num>
  <w:num w:numId="36">
    <w:abstractNumId w:val="14"/>
  </w:num>
  <w:num w:numId="37">
    <w:abstractNumId w:val="34"/>
  </w:num>
  <w:num w:numId="38">
    <w:abstractNumId w:val="12"/>
  </w:num>
  <w:num w:numId="39">
    <w:abstractNumId w:val="11"/>
  </w:num>
  <w:num w:numId="40">
    <w:abstractNumId w:val="4"/>
  </w:num>
  <w:num w:numId="41">
    <w:abstractNumId w:val="3"/>
  </w:num>
  <w:num w:numId="42">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ACA"/>
    <w:rsid w:val="0000075F"/>
    <w:rsid w:val="0000083E"/>
    <w:rsid w:val="00000A0B"/>
    <w:rsid w:val="00000B4C"/>
    <w:rsid w:val="00000E57"/>
    <w:rsid w:val="00001E62"/>
    <w:rsid w:val="0000272E"/>
    <w:rsid w:val="00002D1E"/>
    <w:rsid w:val="00002E5A"/>
    <w:rsid w:val="00002E9A"/>
    <w:rsid w:val="00003159"/>
    <w:rsid w:val="00003642"/>
    <w:rsid w:val="00003877"/>
    <w:rsid w:val="00003C23"/>
    <w:rsid w:val="00004619"/>
    <w:rsid w:val="000046AD"/>
    <w:rsid w:val="00004AF1"/>
    <w:rsid w:val="00004D81"/>
    <w:rsid w:val="00004DF1"/>
    <w:rsid w:val="000050D7"/>
    <w:rsid w:val="000055A7"/>
    <w:rsid w:val="00005C8D"/>
    <w:rsid w:val="00005CC8"/>
    <w:rsid w:val="00005DC0"/>
    <w:rsid w:val="000062E4"/>
    <w:rsid w:val="000064E8"/>
    <w:rsid w:val="00006A54"/>
    <w:rsid w:val="00006AC9"/>
    <w:rsid w:val="00006C5B"/>
    <w:rsid w:val="0000704C"/>
    <w:rsid w:val="0000770E"/>
    <w:rsid w:val="00007829"/>
    <w:rsid w:val="00007ED0"/>
    <w:rsid w:val="000103F3"/>
    <w:rsid w:val="00010627"/>
    <w:rsid w:val="00010788"/>
    <w:rsid w:val="000108C0"/>
    <w:rsid w:val="00010B69"/>
    <w:rsid w:val="00011261"/>
    <w:rsid w:val="00011D77"/>
    <w:rsid w:val="000129D7"/>
    <w:rsid w:val="00012AE6"/>
    <w:rsid w:val="00012AFD"/>
    <w:rsid w:val="00012EF0"/>
    <w:rsid w:val="000133AE"/>
    <w:rsid w:val="00013943"/>
    <w:rsid w:val="00013A47"/>
    <w:rsid w:val="00013D7E"/>
    <w:rsid w:val="00013F08"/>
    <w:rsid w:val="00014008"/>
    <w:rsid w:val="0001413E"/>
    <w:rsid w:val="00014E13"/>
    <w:rsid w:val="00014EEC"/>
    <w:rsid w:val="000155F5"/>
    <w:rsid w:val="00016337"/>
    <w:rsid w:val="00016356"/>
    <w:rsid w:val="0001662E"/>
    <w:rsid w:val="00016935"/>
    <w:rsid w:val="00016A64"/>
    <w:rsid w:val="0001776B"/>
    <w:rsid w:val="00017B23"/>
    <w:rsid w:val="00020558"/>
    <w:rsid w:val="00020C1A"/>
    <w:rsid w:val="00020F78"/>
    <w:rsid w:val="000213AF"/>
    <w:rsid w:val="0002147F"/>
    <w:rsid w:val="0002158A"/>
    <w:rsid w:val="00021B35"/>
    <w:rsid w:val="00021E9F"/>
    <w:rsid w:val="0002226A"/>
    <w:rsid w:val="000222C0"/>
    <w:rsid w:val="00022631"/>
    <w:rsid w:val="00022B6A"/>
    <w:rsid w:val="00022C66"/>
    <w:rsid w:val="00023E19"/>
    <w:rsid w:val="000240D2"/>
    <w:rsid w:val="0002429C"/>
    <w:rsid w:val="0002432A"/>
    <w:rsid w:val="00024550"/>
    <w:rsid w:val="000246CC"/>
    <w:rsid w:val="00024997"/>
    <w:rsid w:val="00024AA8"/>
    <w:rsid w:val="00024C54"/>
    <w:rsid w:val="00025012"/>
    <w:rsid w:val="0002519C"/>
    <w:rsid w:val="00025D5A"/>
    <w:rsid w:val="00025EA9"/>
    <w:rsid w:val="00026688"/>
    <w:rsid w:val="000267F5"/>
    <w:rsid w:val="00026FCE"/>
    <w:rsid w:val="0002712E"/>
    <w:rsid w:val="000272AE"/>
    <w:rsid w:val="0003036A"/>
    <w:rsid w:val="00030667"/>
    <w:rsid w:val="000308DE"/>
    <w:rsid w:val="00030C37"/>
    <w:rsid w:val="00030D07"/>
    <w:rsid w:val="00031147"/>
    <w:rsid w:val="00031A92"/>
    <w:rsid w:val="00031B26"/>
    <w:rsid w:val="00032059"/>
    <w:rsid w:val="00032358"/>
    <w:rsid w:val="00032742"/>
    <w:rsid w:val="00032773"/>
    <w:rsid w:val="00032920"/>
    <w:rsid w:val="000336AC"/>
    <w:rsid w:val="000339DA"/>
    <w:rsid w:val="00033C46"/>
    <w:rsid w:val="00033DA0"/>
    <w:rsid w:val="00033EB5"/>
    <w:rsid w:val="00034177"/>
    <w:rsid w:val="0003419C"/>
    <w:rsid w:val="0003454B"/>
    <w:rsid w:val="000345A3"/>
    <w:rsid w:val="00034AAC"/>
    <w:rsid w:val="00034B0E"/>
    <w:rsid w:val="0003509F"/>
    <w:rsid w:val="000350A7"/>
    <w:rsid w:val="0003572B"/>
    <w:rsid w:val="00035A66"/>
    <w:rsid w:val="00035D9E"/>
    <w:rsid w:val="00036091"/>
    <w:rsid w:val="000362CF"/>
    <w:rsid w:val="00036327"/>
    <w:rsid w:val="0003671A"/>
    <w:rsid w:val="00036798"/>
    <w:rsid w:val="00036EBF"/>
    <w:rsid w:val="00037FEB"/>
    <w:rsid w:val="00040051"/>
    <w:rsid w:val="00040401"/>
    <w:rsid w:val="00040663"/>
    <w:rsid w:val="0004117D"/>
    <w:rsid w:val="000415D3"/>
    <w:rsid w:val="000415F6"/>
    <w:rsid w:val="00042192"/>
    <w:rsid w:val="000426A6"/>
    <w:rsid w:val="00042B1B"/>
    <w:rsid w:val="00042BB8"/>
    <w:rsid w:val="000430D5"/>
    <w:rsid w:val="0004319B"/>
    <w:rsid w:val="000432B3"/>
    <w:rsid w:val="00043516"/>
    <w:rsid w:val="00043845"/>
    <w:rsid w:val="000439DB"/>
    <w:rsid w:val="00043E4C"/>
    <w:rsid w:val="000441FA"/>
    <w:rsid w:val="00044208"/>
    <w:rsid w:val="000446CD"/>
    <w:rsid w:val="00044956"/>
    <w:rsid w:val="00044991"/>
    <w:rsid w:val="00044C7A"/>
    <w:rsid w:val="00045500"/>
    <w:rsid w:val="00045723"/>
    <w:rsid w:val="0004592F"/>
    <w:rsid w:val="00045A07"/>
    <w:rsid w:val="000462BC"/>
    <w:rsid w:val="00046920"/>
    <w:rsid w:val="000469B4"/>
    <w:rsid w:val="00046F13"/>
    <w:rsid w:val="00046F24"/>
    <w:rsid w:val="000473F2"/>
    <w:rsid w:val="0004764A"/>
    <w:rsid w:val="0004785A"/>
    <w:rsid w:val="00047922"/>
    <w:rsid w:val="00047ABB"/>
    <w:rsid w:val="00047B21"/>
    <w:rsid w:val="00050385"/>
    <w:rsid w:val="00051784"/>
    <w:rsid w:val="0005195B"/>
    <w:rsid w:val="00051F8F"/>
    <w:rsid w:val="00053623"/>
    <w:rsid w:val="000538C5"/>
    <w:rsid w:val="00053942"/>
    <w:rsid w:val="000539BB"/>
    <w:rsid w:val="00053B15"/>
    <w:rsid w:val="00053C65"/>
    <w:rsid w:val="00054133"/>
    <w:rsid w:val="00054461"/>
    <w:rsid w:val="0005459A"/>
    <w:rsid w:val="000546AE"/>
    <w:rsid w:val="00054B05"/>
    <w:rsid w:val="00055495"/>
    <w:rsid w:val="0005591C"/>
    <w:rsid w:val="00055B85"/>
    <w:rsid w:val="00055BFC"/>
    <w:rsid w:val="00055DB0"/>
    <w:rsid w:val="000564BB"/>
    <w:rsid w:val="00057740"/>
    <w:rsid w:val="0005776F"/>
    <w:rsid w:val="0005795E"/>
    <w:rsid w:val="00057E58"/>
    <w:rsid w:val="00057F9A"/>
    <w:rsid w:val="00057FD2"/>
    <w:rsid w:val="00060157"/>
    <w:rsid w:val="00060248"/>
    <w:rsid w:val="00061080"/>
    <w:rsid w:val="0006163E"/>
    <w:rsid w:val="0006173E"/>
    <w:rsid w:val="00061AAA"/>
    <w:rsid w:val="00061E5D"/>
    <w:rsid w:val="000623A3"/>
    <w:rsid w:val="000623E8"/>
    <w:rsid w:val="0006247E"/>
    <w:rsid w:val="00062E08"/>
    <w:rsid w:val="00062EBA"/>
    <w:rsid w:val="00062EC9"/>
    <w:rsid w:val="00062F1C"/>
    <w:rsid w:val="000630FA"/>
    <w:rsid w:val="00063A95"/>
    <w:rsid w:val="0006413C"/>
    <w:rsid w:val="00064148"/>
    <w:rsid w:val="000642BA"/>
    <w:rsid w:val="00064484"/>
    <w:rsid w:val="00064EBB"/>
    <w:rsid w:val="00064FA9"/>
    <w:rsid w:val="000650E5"/>
    <w:rsid w:val="0006513F"/>
    <w:rsid w:val="00065888"/>
    <w:rsid w:val="0006599E"/>
    <w:rsid w:val="00065C92"/>
    <w:rsid w:val="00066016"/>
    <w:rsid w:val="000664C3"/>
    <w:rsid w:val="000670F1"/>
    <w:rsid w:val="00067C7B"/>
    <w:rsid w:val="00070046"/>
    <w:rsid w:val="000703BC"/>
    <w:rsid w:val="00070822"/>
    <w:rsid w:val="00070B50"/>
    <w:rsid w:val="00070DB3"/>
    <w:rsid w:val="00071041"/>
    <w:rsid w:val="0007126A"/>
    <w:rsid w:val="00071602"/>
    <w:rsid w:val="0007170F"/>
    <w:rsid w:val="0007196F"/>
    <w:rsid w:val="00071B39"/>
    <w:rsid w:val="00071D5D"/>
    <w:rsid w:val="00072442"/>
    <w:rsid w:val="00072472"/>
    <w:rsid w:val="000725A5"/>
    <w:rsid w:val="0007319B"/>
    <w:rsid w:val="00073373"/>
    <w:rsid w:val="00073391"/>
    <w:rsid w:val="000733FF"/>
    <w:rsid w:val="00073730"/>
    <w:rsid w:val="00073EB5"/>
    <w:rsid w:val="0007478B"/>
    <w:rsid w:val="00075435"/>
    <w:rsid w:val="00075A9D"/>
    <w:rsid w:val="00075B5D"/>
    <w:rsid w:val="00075BFC"/>
    <w:rsid w:val="00076269"/>
    <w:rsid w:val="000767E8"/>
    <w:rsid w:val="00077138"/>
    <w:rsid w:val="00077483"/>
    <w:rsid w:val="0007779D"/>
    <w:rsid w:val="00077BE6"/>
    <w:rsid w:val="00077E31"/>
    <w:rsid w:val="00080223"/>
    <w:rsid w:val="00080E1A"/>
    <w:rsid w:val="00081138"/>
    <w:rsid w:val="000819AB"/>
    <w:rsid w:val="00081A47"/>
    <w:rsid w:val="00081D62"/>
    <w:rsid w:val="00081F27"/>
    <w:rsid w:val="0008250C"/>
    <w:rsid w:val="000826B4"/>
    <w:rsid w:val="00082B37"/>
    <w:rsid w:val="00082C01"/>
    <w:rsid w:val="00082E66"/>
    <w:rsid w:val="000830B1"/>
    <w:rsid w:val="0008325A"/>
    <w:rsid w:val="00083336"/>
    <w:rsid w:val="00083566"/>
    <w:rsid w:val="000835A5"/>
    <w:rsid w:val="000836A6"/>
    <w:rsid w:val="0008388F"/>
    <w:rsid w:val="0008393F"/>
    <w:rsid w:val="00083C8D"/>
    <w:rsid w:val="00083D95"/>
    <w:rsid w:val="0008418E"/>
    <w:rsid w:val="000844CF"/>
    <w:rsid w:val="00084503"/>
    <w:rsid w:val="000847CE"/>
    <w:rsid w:val="0008499A"/>
    <w:rsid w:val="00084A84"/>
    <w:rsid w:val="00084C53"/>
    <w:rsid w:val="00084CB2"/>
    <w:rsid w:val="000854C9"/>
    <w:rsid w:val="000854CE"/>
    <w:rsid w:val="00085775"/>
    <w:rsid w:val="000858BB"/>
    <w:rsid w:val="00085BB1"/>
    <w:rsid w:val="00086667"/>
    <w:rsid w:val="00086A02"/>
    <w:rsid w:val="00086B26"/>
    <w:rsid w:val="00087302"/>
    <w:rsid w:val="000874A1"/>
    <w:rsid w:val="0008792B"/>
    <w:rsid w:val="00087AC9"/>
    <w:rsid w:val="00087BC7"/>
    <w:rsid w:val="00087F70"/>
    <w:rsid w:val="000900DE"/>
    <w:rsid w:val="00090721"/>
    <w:rsid w:val="000910A9"/>
    <w:rsid w:val="00091656"/>
    <w:rsid w:val="000916B3"/>
    <w:rsid w:val="00091700"/>
    <w:rsid w:val="00091848"/>
    <w:rsid w:val="00091A4A"/>
    <w:rsid w:val="00091CAA"/>
    <w:rsid w:val="00091D2A"/>
    <w:rsid w:val="00091DD3"/>
    <w:rsid w:val="00091EA3"/>
    <w:rsid w:val="00092309"/>
    <w:rsid w:val="000923C6"/>
    <w:rsid w:val="000927F6"/>
    <w:rsid w:val="00092879"/>
    <w:rsid w:val="00092A8D"/>
    <w:rsid w:val="00092C87"/>
    <w:rsid w:val="0009302D"/>
    <w:rsid w:val="000930B2"/>
    <w:rsid w:val="000933B8"/>
    <w:rsid w:val="000938E6"/>
    <w:rsid w:val="00093D61"/>
    <w:rsid w:val="00093E63"/>
    <w:rsid w:val="00094358"/>
    <w:rsid w:val="000943C0"/>
    <w:rsid w:val="000947A4"/>
    <w:rsid w:val="00094A62"/>
    <w:rsid w:val="00095057"/>
    <w:rsid w:val="000950AD"/>
    <w:rsid w:val="000950CB"/>
    <w:rsid w:val="0009518B"/>
    <w:rsid w:val="0009525A"/>
    <w:rsid w:val="000952A5"/>
    <w:rsid w:val="00095674"/>
    <w:rsid w:val="00095BEA"/>
    <w:rsid w:val="00095C78"/>
    <w:rsid w:val="00095E36"/>
    <w:rsid w:val="00096E8F"/>
    <w:rsid w:val="000970A5"/>
    <w:rsid w:val="000970EA"/>
    <w:rsid w:val="000971CE"/>
    <w:rsid w:val="000971E4"/>
    <w:rsid w:val="0009766E"/>
    <w:rsid w:val="000978A2"/>
    <w:rsid w:val="00097E75"/>
    <w:rsid w:val="00097E79"/>
    <w:rsid w:val="000A03F3"/>
    <w:rsid w:val="000A0B02"/>
    <w:rsid w:val="000A1069"/>
    <w:rsid w:val="000A10D3"/>
    <w:rsid w:val="000A1162"/>
    <w:rsid w:val="000A237A"/>
    <w:rsid w:val="000A2413"/>
    <w:rsid w:val="000A259C"/>
    <w:rsid w:val="000A25BB"/>
    <w:rsid w:val="000A26C8"/>
    <w:rsid w:val="000A30FB"/>
    <w:rsid w:val="000A349C"/>
    <w:rsid w:val="000A3FB7"/>
    <w:rsid w:val="000A422E"/>
    <w:rsid w:val="000A476E"/>
    <w:rsid w:val="000A4AE3"/>
    <w:rsid w:val="000A4D8B"/>
    <w:rsid w:val="000A510D"/>
    <w:rsid w:val="000A5962"/>
    <w:rsid w:val="000A5A7F"/>
    <w:rsid w:val="000A5BD3"/>
    <w:rsid w:val="000A5EE8"/>
    <w:rsid w:val="000A6206"/>
    <w:rsid w:val="000A6379"/>
    <w:rsid w:val="000A66E3"/>
    <w:rsid w:val="000A6C29"/>
    <w:rsid w:val="000A6D3E"/>
    <w:rsid w:val="000A6D80"/>
    <w:rsid w:val="000A79C7"/>
    <w:rsid w:val="000A7A54"/>
    <w:rsid w:val="000A7B1F"/>
    <w:rsid w:val="000B054F"/>
    <w:rsid w:val="000B0A66"/>
    <w:rsid w:val="000B1382"/>
    <w:rsid w:val="000B1A09"/>
    <w:rsid w:val="000B1D13"/>
    <w:rsid w:val="000B1D61"/>
    <w:rsid w:val="000B2676"/>
    <w:rsid w:val="000B2994"/>
    <w:rsid w:val="000B2A8B"/>
    <w:rsid w:val="000B30A2"/>
    <w:rsid w:val="000B3278"/>
    <w:rsid w:val="000B3392"/>
    <w:rsid w:val="000B3B7C"/>
    <w:rsid w:val="000B3E58"/>
    <w:rsid w:val="000B445D"/>
    <w:rsid w:val="000B445F"/>
    <w:rsid w:val="000B4464"/>
    <w:rsid w:val="000B4551"/>
    <w:rsid w:val="000B470B"/>
    <w:rsid w:val="000B4A8C"/>
    <w:rsid w:val="000B529E"/>
    <w:rsid w:val="000B5409"/>
    <w:rsid w:val="000B5700"/>
    <w:rsid w:val="000B5724"/>
    <w:rsid w:val="000B5976"/>
    <w:rsid w:val="000B5A5F"/>
    <w:rsid w:val="000B5E4E"/>
    <w:rsid w:val="000B5EE6"/>
    <w:rsid w:val="000B6306"/>
    <w:rsid w:val="000B65C3"/>
    <w:rsid w:val="000B6ADF"/>
    <w:rsid w:val="000B71E9"/>
    <w:rsid w:val="000B72E7"/>
    <w:rsid w:val="000B75E0"/>
    <w:rsid w:val="000B781A"/>
    <w:rsid w:val="000B7E42"/>
    <w:rsid w:val="000C0242"/>
    <w:rsid w:val="000C037E"/>
    <w:rsid w:val="000C0448"/>
    <w:rsid w:val="000C0490"/>
    <w:rsid w:val="000C093C"/>
    <w:rsid w:val="000C110E"/>
    <w:rsid w:val="000C1162"/>
    <w:rsid w:val="000C1B00"/>
    <w:rsid w:val="000C1CE8"/>
    <w:rsid w:val="000C1E90"/>
    <w:rsid w:val="000C1F67"/>
    <w:rsid w:val="000C202B"/>
    <w:rsid w:val="000C2135"/>
    <w:rsid w:val="000C2687"/>
    <w:rsid w:val="000C379A"/>
    <w:rsid w:val="000C37A6"/>
    <w:rsid w:val="000C3D6A"/>
    <w:rsid w:val="000C3FDF"/>
    <w:rsid w:val="000C40D5"/>
    <w:rsid w:val="000C43EF"/>
    <w:rsid w:val="000C4906"/>
    <w:rsid w:val="000C4ADB"/>
    <w:rsid w:val="000C4BAB"/>
    <w:rsid w:val="000C571A"/>
    <w:rsid w:val="000C5725"/>
    <w:rsid w:val="000C5785"/>
    <w:rsid w:val="000C59D4"/>
    <w:rsid w:val="000C62A8"/>
    <w:rsid w:val="000C662F"/>
    <w:rsid w:val="000C73D5"/>
    <w:rsid w:val="000C7451"/>
    <w:rsid w:val="000C745C"/>
    <w:rsid w:val="000C7B0A"/>
    <w:rsid w:val="000D028B"/>
    <w:rsid w:val="000D043E"/>
    <w:rsid w:val="000D0C8D"/>
    <w:rsid w:val="000D0D25"/>
    <w:rsid w:val="000D0E43"/>
    <w:rsid w:val="000D0FE7"/>
    <w:rsid w:val="000D1424"/>
    <w:rsid w:val="000D1A9F"/>
    <w:rsid w:val="000D1B8F"/>
    <w:rsid w:val="000D229A"/>
    <w:rsid w:val="000D25FD"/>
    <w:rsid w:val="000D2977"/>
    <w:rsid w:val="000D2FF7"/>
    <w:rsid w:val="000D3109"/>
    <w:rsid w:val="000D331B"/>
    <w:rsid w:val="000D3850"/>
    <w:rsid w:val="000D3978"/>
    <w:rsid w:val="000D39D9"/>
    <w:rsid w:val="000D3AA2"/>
    <w:rsid w:val="000D3F12"/>
    <w:rsid w:val="000D3F90"/>
    <w:rsid w:val="000D3FC0"/>
    <w:rsid w:val="000D41D3"/>
    <w:rsid w:val="000D47A1"/>
    <w:rsid w:val="000D4C36"/>
    <w:rsid w:val="000D5446"/>
    <w:rsid w:val="000D5509"/>
    <w:rsid w:val="000D56DC"/>
    <w:rsid w:val="000D632C"/>
    <w:rsid w:val="000D667B"/>
    <w:rsid w:val="000D682C"/>
    <w:rsid w:val="000D6B9E"/>
    <w:rsid w:val="000D6C27"/>
    <w:rsid w:val="000D7341"/>
    <w:rsid w:val="000D7873"/>
    <w:rsid w:val="000E0273"/>
    <w:rsid w:val="000E0285"/>
    <w:rsid w:val="000E0392"/>
    <w:rsid w:val="000E0DC3"/>
    <w:rsid w:val="000E0DDC"/>
    <w:rsid w:val="000E0EC7"/>
    <w:rsid w:val="000E127A"/>
    <w:rsid w:val="000E1E7E"/>
    <w:rsid w:val="000E21D0"/>
    <w:rsid w:val="000E220F"/>
    <w:rsid w:val="000E24CC"/>
    <w:rsid w:val="000E2819"/>
    <w:rsid w:val="000E2965"/>
    <w:rsid w:val="000E2F86"/>
    <w:rsid w:val="000E3185"/>
    <w:rsid w:val="000E31A2"/>
    <w:rsid w:val="000E3723"/>
    <w:rsid w:val="000E3A52"/>
    <w:rsid w:val="000E3D55"/>
    <w:rsid w:val="000E3D90"/>
    <w:rsid w:val="000E3EFF"/>
    <w:rsid w:val="000E4376"/>
    <w:rsid w:val="000E4BBD"/>
    <w:rsid w:val="000E4FA0"/>
    <w:rsid w:val="000E5358"/>
    <w:rsid w:val="000E65EB"/>
    <w:rsid w:val="000E6677"/>
    <w:rsid w:val="000E6B35"/>
    <w:rsid w:val="000E6C14"/>
    <w:rsid w:val="000E702A"/>
    <w:rsid w:val="000E73A3"/>
    <w:rsid w:val="000E73C1"/>
    <w:rsid w:val="000F0156"/>
    <w:rsid w:val="000F0B65"/>
    <w:rsid w:val="000F0B94"/>
    <w:rsid w:val="000F0CEC"/>
    <w:rsid w:val="000F0E9E"/>
    <w:rsid w:val="000F11FF"/>
    <w:rsid w:val="000F2082"/>
    <w:rsid w:val="000F21F8"/>
    <w:rsid w:val="000F2E1B"/>
    <w:rsid w:val="000F32E5"/>
    <w:rsid w:val="000F33B1"/>
    <w:rsid w:val="000F3483"/>
    <w:rsid w:val="000F377C"/>
    <w:rsid w:val="000F3893"/>
    <w:rsid w:val="000F4597"/>
    <w:rsid w:val="000F5452"/>
    <w:rsid w:val="000F56AA"/>
    <w:rsid w:val="000F56EB"/>
    <w:rsid w:val="000F5808"/>
    <w:rsid w:val="000F5BBD"/>
    <w:rsid w:val="000F603A"/>
    <w:rsid w:val="000F6549"/>
    <w:rsid w:val="000F6C0C"/>
    <w:rsid w:val="000F6E2E"/>
    <w:rsid w:val="000F6F07"/>
    <w:rsid w:val="000F7449"/>
    <w:rsid w:val="000F7716"/>
    <w:rsid w:val="000F7726"/>
    <w:rsid w:val="00100120"/>
    <w:rsid w:val="001005D8"/>
    <w:rsid w:val="00100610"/>
    <w:rsid w:val="00100795"/>
    <w:rsid w:val="0010089C"/>
    <w:rsid w:val="00100B32"/>
    <w:rsid w:val="00101110"/>
    <w:rsid w:val="00101A23"/>
    <w:rsid w:val="00101B43"/>
    <w:rsid w:val="00101CCD"/>
    <w:rsid w:val="00101EA2"/>
    <w:rsid w:val="00101F8C"/>
    <w:rsid w:val="001023EA"/>
    <w:rsid w:val="00102909"/>
    <w:rsid w:val="0010312A"/>
    <w:rsid w:val="001031C3"/>
    <w:rsid w:val="001031D6"/>
    <w:rsid w:val="00104089"/>
    <w:rsid w:val="00104894"/>
    <w:rsid w:val="0010494D"/>
    <w:rsid w:val="00104CEA"/>
    <w:rsid w:val="00104F40"/>
    <w:rsid w:val="00105AF8"/>
    <w:rsid w:val="00105D94"/>
    <w:rsid w:val="0010663E"/>
    <w:rsid w:val="001066DF"/>
    <w:rsid w:val="00106879"/>
    <w:rsid w:val="00107177"/>
    <w:rsid w:val="00107C06"/>
    <w:rsid w:val="00107DF6"/>
    <w:rsid w:val="00107DFA"/>
    <w:rsid w:val="001102EB"/>
    <w:rsid w:val="0011042B"/>
    <w:rsid w:val="0011059B"/>
    <w:rsid w:val="00110B9E"/>
    <w:rsid w:val="00110D93"/>
    <w:rsid w:val="00111746"/>
    <w:rsid w:val="0011182F"/>
    <w:rsid w:val="00111A33"/>
    <w:rsid w:val="00111CAB"/>
    <w:rsid w:val="001121FC"/>
    <w:rsid w:val="0011229F"/>
    <w:rsid w:val="001124BC"/>
    <w:rsid w:val="001126C8"/>
    <w:rsid w:val="0011278A"/>
    <w:rsid w:val="00112AB7"/>
    <w:rsid w:val="001137EE"/>
    <w:rsid w:val="00113AEB"/>
    <w:rsid w:val="00113F54"/>
    <w:rsid w:val="00114037"/>
    <w:rsid w:val="00114376"/>
    <w:rsid w:val="00114D82"/>
    <w:rsid w:val="00116141"/>
    <w:rsid w:val="001164B6"/>
    <w:rsid w:val="001166DB"/>
    <w:rsid w:val="00117197"/>
    <w:rsid w:val="00117837"/>
    <w:rsid w:val="00117DF4"/>
    <w:rsid w:val="00117E77"/>
    <w:rsid w:val="0012009E"/>
    <w:rsid w:val="0012017D"/>
    <w:rsid w:val="00120908"/>
    <w:rsid w:val="00120ED0"/>
    <w:rsid w:val="00121058"/>
    <w:rsid w:val="00121137"/>
    <w:rsid w:val="00121222"/>
    <w:rsid w:val="00121803"/>
    <w:rsid w:val="00121D7B"/>
    <w:rsid w:val="001225F3"/>
    <w:rsid w:val="00122BBF"/>
    <w:rsid w:val="00122FB8"/>
    <w:rsid w:val="001230DD"/>
    <w:rsid w:val="001235D8"/>
    <w:rsid w:val="00123C99"/>
    <w:rsid w:val="00123E32"/>
    <w:rsid w:val="00123F2C"/>
    <w:rsid w:val="00124210"/>
    <w:rsid w:val="00124709"/>
    <w:rsid w:val="00124882"/>
    <w:rsid w:val="00124AD9"/>
    <w:rsid w:val="00124BE7"/>
    <w:rsid w:val="0012542A"/>
    <w:rsid w:val="0012571E"/>
    <w:rsid w:val="00125BD6"/>
    <w:rsid w:val="00125D31"/>
    <w:rsid w:val="001265A1"/>
    <w:rsid w:val="001266BB"/>
    <w:rsid w:val="00126768"/>
    <w:rsid w:val="0012691B"/>
    <w:rsid w:val="00126D09"/>
    <w:rsid w:val="00126F3A"/>
    <w:rsid w:val="0012716B"/>
    <w:rsid w:val="00127308"/>
    <w:rsid w:val="00127721"/>
    <w:rsid w:val="00127DB2"/>
    <w:rsid w:val="00127F22"/>
    <w:rsid w:val="00130134"/>
    <w:rsid w:val="0013097A"/>
    <w:rsid w:val="00130BFF"/>
    <w:rsid w:val="00130C80"/>
    <w:rsid w:val="00130C99"/>
    <w:rsid w:val="0013101F"/>
    <w:rsid w:val="00131034"/>
    <w:rsid w:val="00131045"/>
    <w:rsid w:val="00131427"/>
    <w:rsid w:val="00131717"/>
    <w:rsid w:val="00131D3A"/>
    <w:rsid w:val="00131DA1"/>
    <w:rsid w:val="00131E88"/>
    <w:rsid w:val="001320BE"/>
    <w:rsid w:val="00132203"/>
    <w:rsid w:val="00132881"/>
    <w:rsid w:val="00132A34"/>
    <w:rsid w:val="00132AD5"/>
    <w:rsid w:val="00132D3B"/>
    <w:rsid w:val="00133FF0"/>
    <w:rsid w:val="00134995"/>
    <w:rsid w:val="00134EF1"/>
    <w:rsid w:val="001350BA"/>
    <w:rsid w:val="001359DF"/>
    <w:rsid w:val="00135D51"/>
    <w:rsid w:val="00135E8C"/>
    <w:rsid w:val="0013629C"/>
    <w:rsid w:val="001364D5"/>
    <w:rsid w:val="0013655E"/>
    <w:rsid w:val="001371FD"/>
    <w:rsid w:val="00137475"/>
    <w:rsid w:val="0013761B"/>
    <w:rsid w:val="0013783A"/>
    <w:rsid w:val="00137B7A"/>
    <w:rsid w:val="00137E80"/>
    <w:rsid w:val="00137F84"/>
    <w:rsid w:val="00140047"/>
    <w:rsid w:val="00140443"/>
    <w:rsid w:val="001405D8"/>
    <w:rsid w:val="00140A4E"/>
    <w:rsid w:val="00140B44"/>
    <w:rsid w:val="00140BD2"/>
    <w:rsid w:val="00141303"/>
    <w:rsid w:val="001416A7"/>
    <w:rsid w:val="00141C18"/>
    <w:rsid w:val="001421D0"/>
    <w:rsid w:val="0014232F"/>
    <w:rsid w:val="001430EC"/>
    <w:rsid w:val="00143553"/>
    <w:rsid w:val="0014368A"/>
    <w:rsid w:val="00143FD9"/>
    <w:rsid w:val="0014446C"/>
    <w:rsid w:val="0014476D"/>
    <w:rsid w:val="001447F5"/>
    <w:rsid w:val="00144EB9"/>
    <w:rsid w:val="0014525F"/>
    <w:rsid w:val="001456DB"/>
    <w:rsid w:val="00145B22"/>
    <w:rsid w:val="00145EBC"/>
    <w:rsid w:val="00146113"/>
    <w:rsid w:val="00146173"/>
    <w:rsid w:val="0014638A"/>
    <w:rsid w:val="001472AD"/>
    <w:rsid w:val="00147483"/>
    <w:rsid w:val="00147AB7"/>
    <w:rsid w:val="00147EB0"/>
    <w:rsid w:val="00150766"/>
    <w:rsid w:val="0015080A"/>
    <w:rsid w:val="001510C4"/>
    <w:rsid w:val="001514B8"/>
    <w:rsid w:val="001517A1"/>
    <w:rsid w:val="00151CD4"/>
    <w:rsid w:val="0015268F"/>
    <w:rsid w:val="00152CE3"/>
    <w:rsid w:val="00152F59"/>
    <w:rsid w:val="00153138"/>
    <w:rsid w:val="001536BE"/>
    <w:rsid w:val="00153AC5"/>
    <w:rsid w:val="0015427E"/>
    <w:rsid w:val="001543C0"/>
    <w:rsid w:val="001550C5"/>
    <w:rsid w:val="00155241"/>
    <w:rsid w:val="001555A0"/>
    <w:rsid w:val="00155B01"/>
    <w:rsid w:val="00155EDE"/>
    <w:rsid w:val="001560FB"/>
    <w:rsid w:val="001574A1"/>
    <w:rsid w:val="0015762F"/>
    <w:rsid w:val="0015791A"/>
    <w:rsid w:val="00157959"/>
    <w:rsid w:val="0015796E"/>
    <w:rsid w:val="001579A0"/>
    <w:rsid w:val="00160067"/>
    <w:rsid w:val="00160453"/>
    <w:rsid w:val="001604F4"/>
    <w:rsid w:val="00160637"/>
    <w:rsid w:val="00160B05"/>
    <w:rsid w:val="00160CA8"/>
    <w:rsid w:val="00160DAB"/>
    <w:rsid w:val="00160DC8"/>
    <w:rsid w:val="001610EC"/>
    <w:rsid w:val="00161479"/>
    <w:rsid w:val="00161861"/>
    <w:rsid w:val="00162193"/>
    <w:rsid w:val="001623AF"/>
    <w:rsid w:val="00162A54"/>
    <w:rsid w:val="00162FC6"/>
    <w:rsid w:val="00163037"/>
    <w:rsid w:val="00163115"/>
    <w:rsid w:val="001633FB"/>
    <w:rsid w:val="00163510"/>
    <w:rsid w:val="00163931"/>
    <w:rsid w:val="001644B2"/>
    <w:rsid w:val="0016453F"/>
    <w:rsid w:val="0016472B"/>
    <w:rsid w:val="001650B3"/>
    <w:rsid w:val="00165602"/>
    <w:rsid w:val="00165BDB"/>
    <w:rsid w:val="00166897"/>
    <w:rsid w:val="00166DBE"/>
    <w:rsid w:val="00166E55"/>
    <w:rsid w:val="001673CB"/>
    <w:rsid w:val="00167AF4"/>
    <w:rsid w:val="001704AE"/>
    <w:rsid w:val="00170579"/>
    <w:rsid w:val="001706A7"/>
    <w:rsid w:val="00170783"/>
    <w:rsid w:val="001709E2"/>
    <w:rsid w:val="00170B5A"/>
    <w:rsid w:val="00170D3E"/>
    <w:rsid w:val="00170D4A"/>
    <w:rsid w:val="00171077"/>
    <w:rsid w:val="001714D4"/>
    <w:rsid w:val="00171D8F"/>
    <w:rsid w:val="00171E45"/>
    <w:rsid w:val="001721C9"/>
    <w:rsid w:val="0017265A"/>
    <w:rsid w:val="00172820"/>
    <w:rsid w:val="00172FE0"/>
    <w:rsid w:val="0017342F"/>
    <w:rsid w:val="0017364D"/>
    <w:rsid w:val="0017372C"/>
    <w:rsid w:val="0017373D"/>
    <w:rsid w:val="00173BA5"/>
    <w:rsid w:val="00173E14"/>
    <w:rsid w:val="001740AA"/>
    <w:rsid w:val="00174E0C"/>
    <w:rsid w:val="001755F5"/>
    <w:rsid w:val="0017676C"/>
    <w:rsid w:val="00176E38"/>
    <w:rsid w:val="00176FC5"/>
    <w:rsid w:val="00176FE9"/>
    <w:rsid w:val="001775FE"/>
    <w:rsid w:val="0017785F"/>
    <w:rsid w:val="001778DA"/>
    <w:rsid w:val="00177BD8"/>
    <w:rsid w:val="00180086"/>
    <w:rsid w:val="001802C8"/>
    <w:rsid w:val="0018079E"/>
    <w:rsid w:val="00180AAA"/>
    <w:rsid w:val="00180EAC"/>
    <w:rsid w:val="001814A4"/>
    <w:rsid w:val="00181FB2"/>
    <w:rsid w:val="001820EF"/>
    <w:rsid w:val="0018225B"/>
    <w:rsid w:val="00182299"/>
    <w:rsid w:val="00182702"/>
    <w:rsid w:val="0018277D"/>
    <w:rsid w:val="0018283E"/>
    <w:rsid w:val="0018335C"/>
    <w:rsid w:val="00183723"/>
    <w:rsid w:val="00183A1D"/>
    <w:rsid w:val="00184625"/>
    <w:rsid w:val="00184825"/>
    <w:rsid w:val="00184D7F"/>
    <w:rsid w:val="00184DED"/>
    <w:rsid w:val="001850FA"/>
    <w:rsid w:val="001851BA"/>
    <w:rsid w:val="0018521B"/>
    <w:rsid w:val="00185235"/>
    <w:rsid w:val="001863FF"/>
    <w:rsid w:val="00186615"/>
    <w:rsid w:val="00186D76"/>
    <w:rsid w:val="00187394"/>
    <w:rsid w:val="00187CDC"/>
    <w:rsid w:val="00187DD3"/>
    <w:rsid w:val="001904DD"/>
    <w:rsid w:val="00190A1E"/>
    <w:rsid w:val="00190EBB"/>
    <w:rsid w:val="001912D2"/>
    <w:rsid w:val="00191490"/>
    <w:rsid w:val="001914C5"/>
    <w:rsid w:val="001914C7"/>
    <w:rsid w:val="00191657"/>
    <w:rsid w:val="0019165F"/>
    <w:rsid w:val="00191A31"/>
    <w:rsid w:val="00191F03"/>
    <w:rsid w:val="001921BE"/>
    <w:rsid w:val="001924D1"/>
    <w:rsid w:val="001925F0"/>
    <w:rsid w:val="0019289E"/>
    <w:rsid w:val="00192F1F"/>
    <w:rsid w:val="00192FBF"/>
    <w:rsid w:val="001937E0"/>
    <w:rsid w:val="00193A3F"/>
    <w:rsid w:val="00193A8B"/>
    <w:rsid w:val="001940B5"/>
    <w:rsid w:val="001949B8"/>
    <w:rsid w:val="00194C30"/>
    <w:rsid w:val="00195642"/>
    <w:rsid w:val="00195E55"/>
    <w:rsid w:val="00195FB0"/>
    <w:rsid w:val="00196011"/>
    <w:rsid w:val="001960C9"/>
    <w:rsid w:val="00196179"/>
    <w:rsid w:val="001962C0"/>
    <w:rsid w:val="001963FB"/>
    <w:rsid w:val="00196479"/>
    <w:rsid w:val="00196633"/>
    <w:rsid w:val="00196807"/>
    <w:rsid w:val="0019680D"/>
    <w:rsid w:val="0019689D"/>
    <w:rsid w:val="001969E4"/>
    <w:rsid w:val="00197085"/>
    <w:rsid w:val="00197228"/>
    <w:rsid w:val="0019772E"/>
    <w:rsid w:val="00197866"/>
    <w:rsid w:val="00197E23"/>
    <w:rsid w:val="00197EBD"/>
    <w:rsid w:val="001A0248"/>
    <w:rsid w:val="001A038E"/>
    <w:rsid w:val="001A0627"/>
    <w:rsid w:val="001A0C75"/>
    <w:rsid w:val="001A1699"/>
    <w:rsid w:val="001A18EC"/>
    <w:rsid w:val="001A1FFA"/>
    <w:rsid w:val="001A22D8"/>
    <w:rsid w:val="001A2611"/>
    <w:rsid w:val="001A3090"/>
    <w:rsid w:val="001A317D"/>
    <w:rsid w:val="001A363C"/>
    <w:rsid w:val="001A39BA"/>
    <w:rsid w:val="001A3B08"/>
    <w:rsid w:val="001A3BD4"/>
    <w:rsid w:val="001A3DE6"/>
    <w:rsid w:val="001A4072"/>
    <w:rsid w:val="001A4122"/>
    <w:rsid w:val="001A419C"/>
    <w:rsid w:val="001A43D6"/>
    <w:rsid w:val="001A43FA"/>
    <w:rsid w:val="001A45F8"/>
    <w:rsid w:val="001A47DF"/>
    <w:rsid w:val="001A4836"/>
    <w:rsid w:val="001A4CF8"/>
    <w:rsid w:val="001A5348"/>
    <w:rsid w:val="001A5596"/>
    <w:rsid w:val="001A565D"/>
    <w:rsid w:val="001A5A6C"/>
    <w:rsid w:val="001A61F5"/>
    <w:rsid w:val="001A63CA"/>
    <w:rsid w:val="001A65CB"/>
    <w:rsid w:val="001A6FA5"/>
    <w:rsid w:val="001A7081"/>
    <w:rsid w:val="001A7905"/>
    <w:rsid w:val="001A7CC1"/>
    <w:rsid w:val="001A7E96"/>
    <w:rsid w:val="001B015D"/>
    <w:rsid w:val="001B02D2"/>
    <w:rsid w:val="001B0538"/>
    <w:rsid w:val="001B056A"/>
    <w:rsid w:val="001B05D8"/>
    <w:rsid w:val="001B0652"/>
    <w:rsid w:val="001B081C"/>
    <w:rsid w:val="001B0C11"/>
    <w:rsid w:val="001B101F"/>
    <w:rsid w:val="001B1208"/>
    <w:rsid w:val="001B13E1"/>
    <w:rsid w:val="001B1F95"/>
    <w:rsid w:val="001B2702"/>
    <w:rsid w:val="001B277F"/>
    <w:rsid w:val="001B2A8E"/>
    <w:rsid w:val="001B3374"/>
    <w:rsid w:val="001B3B4C"/>
    <w:rsid w:val="001B4064"/>
    <w:rsid w:val="001B454B"/>
    <w:rsid w:val="001B45A6"/>
    <w:rsid w:val="001B45E6"/>
    <w:rsid w:val="001B546C"/>
    <w:rsid w:val="001B5527"/>
    <w:rsid w:val="001B5D8A"/>
    <w:rsid w:val="001B5FC2"/>
    <w:rsid w:val="001B6209"/>
    <w:rsid w:val="001B62D8"/>
    <w:rsid w:val="001B675B"/>
    <w:rsid w:val="001B6AB1"/>
    <w:rsid w:val="001B6C4C"/>
    <w:rsid w:val="001B6E42"/>
    <w:rsid w:val="001B7603"/>
    <w:rsid w:val="001B779C"/>
    <w:rsid w:val="001B78B5"/>
    <w:rsid w:val="001B7E6B"/>
    <w:rsid w:val="001C0259"/>
    <w:rsid w:val="001C091C"/>
    <w:rsid w:val="001C0A3D"/>
    <w:rsid w:val="001C0A58"/>
    <w:rsid w:val="001C1E1C"/>
    <w:rsid w:val="001C2101"/>
    <w:rsid w:val="001C2BDC"/>
    <w:rsid w:val="001C305C"/>
    <w:rsid w:val="001C3483"/>
    <w:rsid w:val="001C35FD"/>
    <w:rsid w:val="001C457C"/>
    <w:rsid w:val="001C45A7"/>
    <w:rsid w:val="001C49E3"/>
    <w:rsid w:val="001C4C06"/>
    <w:rsid w:val="001C4CE1"/>
    <w:rsid w:val="001C4DCD"/>
    <w:rsid w:val="001C556B"/>
    <w:rsid w:val="001C561A"/>
    <w:rsid w:val="001C568E"/>
    <w:rsid w:val="001C584D"/>
    <w:rsid w:val="001C59B2"/>
    <w:rsid w:val="001C5B68"/>
    <w:rsid w:val="001C5E9C"/>
    <w:rsid w:val="001C66C3"/>
    <w:rsid w:val="001C6A85"/>
    <w:rsid w:val="001C7C20"/>
    <w:rsid w:val="001D02F2"/>
    <w:rsid w:val="001D0CA4"/>
    <w:rsid w:val="001D0D8D"/>
    <w:rsid w:val="001D11BC"/>
    <w:rsid w:val="001D14CC"/>
    <w:rsid w:val="001D179A"/>
    <w:rsid w:val="001D1E42"/>
    <w:rsid w:val="001D2411"/>
    <w:rsid w:val="001D2BB9"/>
    <w:rsid w:val="001D3076"/>
    <w:rsid w:val="001D32AA"/>
    <w:rsid w:val="001D39E4"/>
    <w:rsid w:val="001D39FD"/>
    <w:rsid w:val="001D3A50"/>
    <w:rsid w:val="001D3B62"/>
    <w:rsid w:val="001D4326"/>
    <w:rsid w:val="001D47D9"/>
    <w:rsid w:val="001D4920"/>
    <w:rsid w:val="001D4EDE"/>
    <w:rsid w:val="001D4EF1"/>
    <w:rsid w:val="001D5440"/>
    <w:rsid w:val="001D57B5"/>
    <w:rsid w:val="001D5DE9"/>
    <w:rsid w:val="001D5E78"/>
    <w:rsid w:val="001D5FBA"/>
    <w:rsid w:val="001D612D"/>
    <w:rsid w:val="001D643E"/>
    <w:rsid w:val="001D64B8"/>
    <w:rsid w:val="001D68E1"/>
    <w:rsid w:val="001D6D5A"/>
    <w:rsid w:val="001D72CC"/>
    <w:rsid w:val="001D7B93"/>
    <w:rsid w:val="001D7EA9"/>
    <w:rsid w:val="001E1322"/>
    <w:rsid w:val="001E16EB"/>
    <w:rsid w:val="001E237D"/>
    <w:rsid w:val="001E29AB"/>
    <w:rsid w:val="001E2B06"/>
    <w:rsid w:val="001E354F"/>
    <w:rsid w:val="001E3618"/>
    <w:rsid w:val="001E3AB6"/>
    <w:rsid w:val="001E3C7E"/>
    <w:rsid w:val="001E3DDE"/>
    <w:rsid w:val="001E47CB"/>
    <w:rsid w:val="001E47D5"/>
    <w:rsid w:val="001E49B9"/>
    <w:rsid w:val="001E4F08"/>
    <w:rsid w:val="001E5206"/>
    <w:rsid w:val="001E58A5"/>
    <w:rsid w:val="001E58AB"/>
    <w:rsid w:val="001E5FB3"/>
    <w:rsid w:val="001E62F1"/>
    <w:rsid w:val="001E67A7"/>
    <w:rsid w:val="001E6A52"/>
    <w:rsid w:val="001E7001"/>
    <w:rsid w:val="001E78AB"/>
    <w:rsid w:val="001E7F92"/>
    <w:rsid w:val="001F027A"/>
    <w:rsid w:val="001F04CE"/>
    <w:rsid w:val="001F052D"/>
    <w:rsid w:val="001F0532"/>
    <w:rsid w:val="001F06C3"/>
    <w:rsid w:val="001F176B"/>
    <w:rsid w:val="001F18AA"/>
    <w:rsid w:val="001F20CC"/>
    <w:rsid w:val="001F2269"/>
    <w:rsid w:val="001F23C2"/>
    <w:rsid w:val="001F252D"/>
    <w:rsid w:val="001F2DCA"/>
    <w:rsid w:val="001F312D"/>
    <w:rsid w:val="001F39B9"/>
    <w:rsid w:val="001F40A3"/>
    <w:rsid w:val="001F40B0"/>
    <w:rsid w:val="001F482A"/>
    <w:rsid w:val="001F484A"/>
    <w:rsid w:val="001F494D"/>
    <w:rsid w:val="001F4BAF"/>
    <w:rsid w:val="001F50AC"/>
    <w:rsid w:val="001F52E9"/>
    <w:rsid w:val="001F53CA"/>
    <w:rsid w:val="001F565F"/>
    <w:rsid w:val="001F5B14"/>
    <w:rsid w:val="001F62D5"/>
    <w:rsid w:val="001F64A3"/>
    <w:rsid w:val="001F64BC"/>
    <w:rsid w:val="001F65A2"/>
    <w:rsid w:val="001F71C9"/>
    <w:rsid w:val="001F76EC"/>
    <w:rsid w:val="001F7F59"/>
    <w:rsid w:val="00200101"/>
    <w:rsid w:val="00200322"/>
    <w:rsid w:val="00200AB1"/>
    <w:rsid w:val="00200AD2"/>
    <w:rsid w:val="00200BCA"/>
    <w:rsid w:val="00200BED"/>
    <w:rsid w:val="002011C1"/>
    <w:rsid w:val="002013A9"/>
    <w:rsid w:val="00201410"/>
    <w:rsid w:val="0020163D"/>
    <w:rsid w:val="0020192F"/>
    <w:rsid w:val="00201ADA"/>
    <w:rsid w:val="00201D9B"/>
    <w:rsid w:val="002029B8"/>
    <w:rsid w:val="002034A8"/>
    <w:rsid w:val="0020353C"/>
    <w:rsid w:val="002038FC"/>
    <w:rsid w:val="00203C29"/>
    <w:rsid w:val="00203FD1"/>
    <w:rsid w:val="00204304"/>
    <w:rsid w:val="00204342"/>
    <w:rsid w:val="002045AD"/>
    <w:rsid w:val="0020464D"/>
    <w:rsid w:val="00204F55"/>
    <w:rsid w:val="00205755"/>
    <w:rsid w:val="0020580C"/>
    <w:rsid w:val="00205956"/>
    <w:rsid w:val="00205C98"/>
    <w:rsid w:val="00205FFA"/>
    <w:rsid w:val="00206188"/>
    <w:rsid w:val="00206369"/>
    <w:rsid w:val="002063D5"/>
    <w:rsid w:val="00206B05"/>
    <w:rsid w:val="00207654"/>
    <w:rsid w:val="002077CE"/>
    <w:rsid w:val="00210298"/>
    <w:rsid w:val="002108CA"/>
    <w:rsid w:val="00210DEC"/>
    <w:rsid w:val="002111A5"/>
    <w:rsid w:val="002113FA"/>
    <w:rsid w:val="002114DB"/>
    <w:rsid w:val="0021153F"/>
    <w:rsid w:val="0021156B"/>
    <w:rsid w:val="002118DA"/>
    <w:rsid w:val="00211B92"/>
    <w:rsid w:val="0021214B"/>
    <w:rsid w:val="002125B0"/>
    <w:rsid w:val="00212619"/>
    <w:rsid w:val="002126F5"/>
    <w:rsid w:val="002127E3"/>
    <w:rsid w:val="002128BD"/>
    <w:rsid w:val="0021296F"/>
    <w:rsid w:val="00212AD3"/>
    <w:rsid w:val="00212DE3"/>
    <w:rsid w:val="00213A63"/>
    <w:rsid w:val="00213AA2"/>
    <w:rsid w:val="00214966"/>
    <w:rsid w:val="00214D9E"/>
    <w:rsid w:val="0021569E"/>
    <w:rsid w:val="00215AC0"/>
    <w:rsid w:val="00215B0B"/>
    <w:rsid w:val="00216054"/>
    <w:rsid w:val="002161CE"/>
    <w:rsid w:val="0021656C"/>
    <w:rsid w:val="00216597"/>
    <w:rsid w:val="00216E6A"/>
    <w:rsid w:val="00216F9F"/>
    <w:rsid w:val="00217416"/>
    <w:rsid w:val="00217916"/>
    <w:rsid w:val="00217C22"/>
    <w:rsid w:val="00220022"/>
    <w:rsid w:val="002205D8"/>
    <w:rsid w:val="002206EE"/>
    <w:rsid w:val="0022071A"/>
    <w:rsid w:val="00220905"/>
    <w:rsid w:val="00220F17"/>
    <w:rsid w:val="00221B89"/>
    <w:rsid w:val="00221BAA"/>
    <w:rsid w:val="00221E61"/>
    <w:rsid w:val="00221F02"/>
    <w:rsid w:val="0022226C"/>
    <w:rsid w:val="00222B8C"/>
    <w:rsid w:val="0022334F"/>
    <w:rsid w:val="00223436"/>
    <w:rsid w:val="0022347B"/>
    <w:rsid w:val="00223B30"/>
    <w:rsid w:val="00223B5B"/>
    <w:rsid w:val="00224002"/>
    <w:rsid w:val="002240A4"/>
    <w:rsid w:val="002244A4"/>
    <w:rsid w:val="00224C09"/>
    <w:rsid w:val="00224C1A"/>
    <w:rsid w:val="00224DAB"/>
    <w:rsid w:val="0022512A"/>
    <w:rsid w:val="0022564F"/>
    <w:rsid w:val="0022635D"/>
    <w:rsid w:val="002264AF"/>
    <w:rsid w:val="0022660A"/>
    <w:rsid w:val="00226757"/>
    <w:rsid w:val="0022686E"/>
    <w:rsid w:val="00226C5C"/>
    <w:rsid w:val="00226CF6"/>
    <w:rsid w:val="00226DBF"/>
    <w:rsid w:val="0022707F"/>
    <w:rsid w:val="0022789D"/>
    <w:rsid w:val="00227936"/>
    <w:rsid w:val="00227AAB"/>
    <w:rsid w:val="00227E6A"/>
    <w:rsid w:val="00230172"/>
    <w:rsid w:val="0023047A"/>
    <w:rsid w:val="00230717"/>
    <w:rsid w:val="002307F3"/>
    <w:rsid w:val="00230829"/>
    <w:rsid w:val="00230C71"/>
    <w:rsid w:val="00231F0B"/>
    <w:rsid w:val="00232286"/>
    <w:rsid w:val="0023252E"/>
    <w:rsid w:val="002326E0"/>
    <w:rsid w:val="002327B6"/>
    <w:rsid w:val="002327BB"/>
    <w:rsid w:val="002328DE"/>
    <w:rsid w:val="00232A40"/>
    <w:rsid w:val="00232AA5"/>
    <w:rsid w:val="00232E3B"/>
    <w:rsid w:val="002333BB"/>
    <w:rsid w:val="00233411"/>
    <w:rsid w:val="00233651"/>
    <w:rsid w:val="00233688"/>
    <w:rsid w:val="00233C5D"/>
    <w:rsid w:val="00233E26"/>
    <w:rsid w:val="00233E88"/>
    <w:rsid w:val="002342AD"/>
    <w:rsid w:val="00234845"/>
    <w:rsid w:val="00235EEB"/>
    <w:rsid w:val="00236285"/>
    <w:rsid w:val="00236465"/>
    <w:rsid w:val="002366D5"/>
    <w:rsid w:val="002369FC"/>
    <w:rsid w:val="00236B43"/>
    <w:rsid w:val="00236D91"/>
    <w:rsid w:val="0023787A"/>
    <w:rsid w:val="00237C94"/>
    <w:rsid w:val="00237CE8"/>
    <w:rsid w:val="00237FA2"/>
    <w:rsid w:val="00240310"/>
    <w:rsid w:val="0024055A"/>
    <w:rsid w:val="00240573"/>
    <w:rsid w:val="00240890"/>
    <w:rsid w:val="00240EE4"/>
    <w:rsid w:val="00241029"/>
    <w:rsid w:val="0024128C"/>
    <w:rsid w:val="002413EA"/>
    <w:rsid w:val="0024147C"/>
    <w:rsid w:val="0024186C"/>
    <w:rsid w:val="0024291D"/>
    <w:rsid w:val="002432DA"/>
    <w:rsid w:val="0024373E"/>
    <w:rsid w:val="00243E3F"/>
    <w:rsid w:val="002440F4"/>
    <w:rsid w:val="00244822"/>
    <w:rsid w:val="0024484E"/>
    <w:rsid w:val="00244B1A"/>
    <w:rsid w:val="002451F4"/>
    <w:rsid w:val="00245853"/>
    <w:rsid w:val="00245AC3"/>
    <w:rsid w:val="00246474"/>
    <w:rsid w:val="0024656D"/>
    <w:rsid w:val="0024724C"/>
    <w:rsid w:val="00247300"/>
    <w:rsid w:val="002473DF"/>
    <w:rsid w:val="002474D9"/>
    <w:rsid w:val="002479BB"/>
    <w:rsid w:val="00247A9F"/>
    <w:rsid w:val="00247BC7"/>
    <w:rsid w:val="00247E00"/>
    <w:rsid w:val="00247FD4"/>
    <w:rsid w:val="00250030"/>
    <w:rsid w:val="002500CF"/>
    <w:rsid w:val="00250680"/>
    <w:rsid w:val="00250A20"/>
    <w:rsid w:val="002511B1"/>
    <w:rsid w:val="00251346"/>
    <w:rsid w:val="00251570"/>
    <w:rsid w:val="00251D30"/>
    <w:rsid w:val="00252172"/>
    <w:rsid w:val="00252317"/>
    <w:rsid w:val="002527F5"/>
    <w:rsid w:val="0025298F"/>
    <w:rsid w:val="00252C3E"/>
    <w:rsid w:val="002532A6"/>
    <w:rsid w:val="002532FD"/>
    <w:rsid w:val="0025359E"/>
    <w:rsid w:val="00253870"/>
    <w:rsid w:val="00253D57"/>
    <w:rsid w:val="00253D8F"/>
    <w:rsid w:val="00253E42"/>
    <w:rsid w:val="00253FF3"/>
    <w:rsid w:val="00254054"/>
    <w:rsid w:val="00254373"/>
    <w:rsid w:val="002543DB"/>
    <w:rsid w:val="002545DB"/>
    <w:rsid w:val="00254E47"/>
    <w:rsid w:val="00255777"/>
    <w:rsid w:val="0025588F"/>
    <w:rsid w:val="00255E59"/>
    <w:rsid w:val="00255F02"/>
    <w:rsid w:val="00255F44"/>
    <w:rsid w:val="002561F4"/>
    <w:rsid w:val="00256574"/>
    <w:rsid w:val="002568EC"/>
    <w:rsid w:val="00256E5B"/>
    <w:rsid w:val="00256EB6"/>
    <w:rsid w:val="00257370"/>
    <w:rsid w:val="0025762A"/>
    <w:rsid w:val="00257852"/>
    <w:rsid w:val="00257B88"/>
    <w:rsid w:val="0026044A"/>
    <w:rsid w:val="002609FD"/>
    <w:rsid w:val="0026126B"/>
    <w:rsid w:val="0026136C"/>
    <w:rsid w:val="002614D6"/>
    <w:rsid w:val="00261DBD"/>
    <w:rsid w:val="00261E5A"/>
    <w:rsid w:val="00262134"/>
    <w:rsid w:val="002626DE"/>
    <w:rsid w:val="002627AC"/>
    <w:rsid w:val="002627C9"/>
    <w:rsid w:val="002628A5"/>
    <w:rsid w:val="00262933"/>
    <w:rsid w:val="002629F1"/>
    <w:rsid w:val="00262B30"/>
    <w:rsid w:val="00262CCB"/>
    <w:rsid w:val="00263DF8"/>
    <w:rsid w:val="00263E9F"/>
    <w:rsid w:val="00263F86"/>
    <w:rsid w:val="002642A6"/>
    <w:rsid w:val="00264771"/>
    <w:rsid w:val="00264F46"/>
    <w:rsid w:val="00264F56"/>
    <w:rsid w:val="00265CFC"/>
    <w:rsid w:val="00265DF8"/>
    <w:rsid w:val="002660CD"/>
    <w:rsid w:val="0026657C"/>
    <w:rsid w:val="00266875"/>
    <w:rsid w:val="00266AEE"/>
    <w:rsid w:val="00266BA7"/>
    <w:rsid w:val="00266D9E"/>
    <w:rsid w:val="00266E7A"/>
    <w:rsid w:val="002671BB"/>
    <w:rsid w:val="00267607"/>
    <w:rsid w:val="00267D34"/>
    <w:rsid w:val="00270C74"/>
    <w:rsid w:val="00271477"/>
    <w:rsid w:val="00271842"/>
    <w:rsid w:val="0027198E"/>
    <w:rsid w:val="00271D94"/>
    <w:rsid w:val="00271E6F"/>
    <w:rsid w:val="00272427"/>
    <w:rsid w:val="00272485"/>
    <w:rsid w:val="00272F72"/>
    <w:rsid w:val="002730FB"/>
    <w:rsid w:val="00273D2A"/>
    <w:rsid w:val="00274056"/>
    <w:rsid w:val="002743B3"/>
    <w:rsid w:val="00274812"/>
    <w:rsid w:val="00274C73"/>
    <w:rsid w:val="00274D3D"/>
    <w:rsid w:val="00275475"/>
    <w:rsid w:val="00276A55"/>
    <w:rsid w:val="00276BB7"/>
    <w:rsid w:val="00276F04"/>
    <w:rsid w:val="00276FE1"/>
    <w:rsid w:val="00277195"/>
    <w:rsid w:val="002776EF"/>
    <w:rsid w:val="00277719"/>
    <w:rsid w:val="002778A4"/>
    <w:rsid w:val="00277DE8"/>
    <w:rsid w:val="00277EFF"/>
    <w:rsid w:val="00277FFA"/>
    <w:rsid w:val="002801CE"/>
    <w:rsid w:val="002802E2"/>
    <w:rsid w:val="002806DB"/>
    <w:rsid w:val="002808C6"/>
    <w:rsid w:val="00280994"/>
    <w:rsid w:val="00280BC0"/>
    <w:rsid w:val="00281096"/>
    <w:rsid w:val="0028143A"/>
    <w:rsid w:val="00281BB1"/>
    <w:rsid w:val="00281D1F"/>
    <w:rsid w:val="00281DC5"/>
    <w:rsid w:val="00281EA7"/>
    <w:rsid w:val="002821D1"/>
    <w:rsid w:val="0028223E"/>
    <w:rsid w:val="0028231A"/>
    <w:rsid w:val="00282796"/>
    <w:rsid w:val="0028284E"/>
    <w:rsid w:val="00282E9E"/>
    <w:rsid w:val="002830EA"/>
    <w:rsid w:val="00283253"/>
    <w:rsid w:val="002835CD"/>
    <w:rsid w:val="0028442E"/>
    <w:rsid w:val="00284E6F"/>
    <w:rsid w:val="00284EF5"/>
    <w:rsid w:val="0028503D"/>
    <w:rsid w:val="002854B6"/>
    <w:rsid w:val="00285948"/>
    <w:rsid w:val="00285D1C"/>
    <w:rsid w:val="00285D87"/>
    <w:rsid w:val="00285EDC"/>
    <w:rsid w:val="002862CB"/>
    <w:rsid w:val="002863BD"/>
    <w:rsid w:val="0028644D"/>
    <w:rsid w:val="00286600"/>
    <w:rsid w:val="00286F7A"/>
    <w:rsid w:val="00287AD1"/>
    <w:rsid w:val="00287BAC"/>
    <w:rsid w:val="0029023F"/>
    <w:rsid w:val="0029030A"/>
    <w:rsid w:val="002903CC"/>
    <w:rsid w:val="0029054C"/>
    <w:rsid w:val="002908F4"/>
    <w:rsid w:val="0029105C"/>
    <w:rsid w:val="002912A3"/>
    <w:rsid w:val="002912F6"/>
    <w:rsid w:val="002914DC"/>
    <w:rsid w:val="00291B22"/>
    <w:rsid w:val="00291CA4"/>
    <w:rsid w:val="00291DC1"/>
    <w:rsid w:val="00291E3E"/>
    <w:rsid w:val="002926E9"/>
    <w:rsid w:val="00292DDB"/>
    <w:rsid w:val="00293916"/>
    <w:rsid w:val="00293ADD"/>
    <w:rsid w:val="00293CFA"/>
    <w:rsid w:val="00293E7D"/>
    <w:rsid w:val="002949BC"/>
    <w:rsid w:val="00294C04"/>
    <w:rsid w:val="00294E9B"/>
    <w:rsid w:val="00294EEF"/>
    <w:rsid w:val="00294F72"/>
    <w:rsid w:val="00295B16"/>
    <w:rsid w:val="00295DBD"/>
    <w:rsid w:val="002964EB"/>
    <w:rsid w:val="00296ADE"/>
    <w:rsid w:val="00296E36"/>
    <w:rsid w:val="00296EAB"/>
    <w:rsid w:val="00297874"/>
    <w:rsid w:val="002A014D"/>
    <w:rsid w:val="002A057B"/>
    <w:rsid w:val="002A092F"/>
    <w:rsid w:val="002A0A88"/>
    <w:rsid w:val="002A0A9B"/>
    <w:rsid w:val="002A0E11"/>
    <w:rsid w:val="002A0F7B"/>
    <w:rsid w:val="002A0FB1"/>
    <w:rsid w:val="002A1AA2"/>
    <w:rsid w:val="002A1E47"/>
    <w:rsid w:val="002A2C9F"/>
    <w:rsid w:val="002A3132"/>
    <w:rsid w:val="002A32AD"/>
    <w:rsid w:val="002A34A4"/>
    <w:rsid w:val="002A3529"/>
    <w:rsid w:val="002A355D"/>
    <w:rsid w:val="002A35BB"/>
    <w:rsid w:val="002A3992"/>
    <w:rsid w:val="002A39D6"/>
    <w:rsid w:val="002A3A00"/>
    <w:rsid w:val="002A3A04"/>
    <w:rsid w:val="002A3A16"/>
    <w:rsid w:val="002A3BFB"/>
    <w:rsid w:val="002A3F43"/>
    <w:rsid w:val="002A4B0A"/>
    <w:rsid w:val="002A4D4A"/>
    <w:rsid w:val="002A4EA5"/>
    <w:rsid w:val="002A4ED8"/>
    <w:rsid w:val="002A5078"/>
    <w:rsid w:val="002A5106"/>
    <w:rsid w:val="002A51A9"/>
    <w:rsid w:val="002A53D1"/>
    <w:rsid w:val="002A5462"/>
    <w:rsid w:val="002A56C1"/>
    <w:rsid w:val="002A6A81"/>
    <w:rsid w:val="002A6E2F"/>
    <w:rsid w:val="002A6F0C"/>
    <w:rsid w:val="002A71B8"/>
    <w:rsid w:val="002A7460"/>
    <w:rsid w:val="002A7E5E"/>
    <w:rsid w:val="002B0832"/>
    <w:rsid w:val="002B0A84"/>
    <w:rsid w:val="002B0FFC"/>
    <w:rsid w:val="002B102A"/>
    <w:rsid w:val="002B17A8"/>
    <w:rsid w:val="002B17FE"/>
    <w:rsid w:val="002B222E"/>
    <w:rsid w:val="002B281C"/>
    <w:rsid w:val="002B3DF0"/>
    <w:rsid w:val="002B3FAF"/>
    <w:rsid w:val="002B424F"/>
    <w:rsid w:val="002B4321"/>
    <w:rsid w:val="002B449D"/>
    <w:rsid w:val="002B59B3"/>
    <w:rsid w:val="002B5B5A"/>
    <w:rsid w:val="002B5C79"/>
    <w:rsid w:val="002B5E27"/>
    <w:rsid w:val="002B5F07"/>
    <w:rsid w:val="002B63CD"/>
    <w:rsid w:val="002B6CB1"/>
    <w:rsid w:val="002B7160"/>
    <w:rsid w:val="002B7228"/>
    <w:rsid w:val="002B73BB"/>
    <w:rsid w:val="002B765B"/>
    <w:rsid w:val="002B77EE"/>
    <w:rsid w:val="002B780F"/>
    <w:rsid w:val="002C0020"/>
    <w:rsid w:val="002C005F"/>
    <w:rsid w:val="002C00B5"/>
    <w:rsid w:val="002C0796"/>
    <w:rsid w:val="002C0988"/>
    <w:rsid w:val="002C0E53"/>
    <w:rsid w:val="002C1245"/>
    <w:rsid w:val="002C2130"/>
    <w:rsid w:val="002C250E"/>
    <w:rsid w:val="002C270E"/>
    <w:rsid w:val="002C2F9E"/>
    <w:rsid w:val="002C3121"/>
    <w:rsid w:val="002C348C"/>
    <w:rsid w:val="002C37D7"/>
    <w:rsid w:val="002C3D93"/>
    <w:rsid w:val="002C4352"/>
    <w:rsid w:val="002C43DB"/>
    <w:rsid w:val="002C4501"/>
    <w:rsid w:val="002C4806"/>
    <w:rsid w:val="002C49CB"/>
    <w:rsid w:val="002C56F7"/>
    <w:rsid w:val="002C58A9"/>
    <w:rsid w:val="002C5ACB"/>
    <w:rsid w:val="002C6CEC"/>
    <w:rsid w:val="002C7172"/>
    <w:rsid w:val="002C729D"/>
    <w:rsid w:val="002C72ED"/>
    <w:rsid w:val="002C74E1"/>
    <w:rsid w:val="002C756B"/>
    <w:rsid w:val="002C7D86"/>
    <w:rsid w:val="002D057E"/>
    <w:rsid w:val="002D05E9"/>
    <w:rsid w:val="002D098B"/>
    <w:rsid w:val="002D0C1F"/>
    <w:rsid w:val="002D0CC3"/>
    <w:rsid w:val="002D0ED0"/>
    <w:rsid w:val="002D16E7"/>
    <w:rsid w:val="002D1B02"/>
    <w:rsid w:val="002D1B4A"/>
    <w:rsid w:val="002D21DA"/>
    <w:rsid w:val="002D234C"/>
    <w:rsid w:val="002D2513"/>
    <w:rsid w:val="002D2712"/>
    <w:rsid w:val="002D2875"/>
    <w:rsid w:val="002D2A40"/>
    <w:rsid w:val="002D2BE3"/>
    <w:rsid w:val="002D2C6A"/>
    <w:rsid w:val="002D3E72"/>
    <w:rsid w:val="002D4211"/>
    <w:rsid w:val="002D42B9"/>
    <w:rsid w:val="002D470D"/>
    <w:rsid w:val="002D47FC"/>
    <w:rsid w:val="002D4B8B"/>
    <w:rsid w:val="002D4C93"/>
    <w:rsid w:val="002D50F7"/>
    <w:rsid w:val="002D541B"/>
    <w:rsid w:val="002D55EB"/>
    <w:rsid w:val="002D563C"/>
    <w:rsid w:val="002D5A20"/>
    <w:rsid w:val="002D5D68"/>
    <w:rsid w:val="002D6232"/>
    <w:rsid w:val="002D62F3"/>
    <w:rsid w:val="002D67E2"/>
    <w:rsid w:val="002D6922"/>
    <w:rsid w:val="002D6C28"/>
    <w:rsid w:val="002D6D78"/>
    <w:rsid w:val="002D6EC2"/>
    <w:rsid w:val="002D721F"/>
    <w:rsid w:val="002D72FE"/>
    <w:rsid w:val="002D733F"/>
    <w:rsid w:val="002D7400"/>
    <w:rsid w:val="002D7A36"/>
    <w:rsid w:val="002D7E97"/>
    <w:rsid w:val="002E032F"/>
    <w:rsid w:val="002E0701"/>
    <w:rsid w:val="002E0AF2"/>
    <w:rsid w:val="002E129C"/>
    <w:rsid w:val="002E1E1F"/>
    <w:rsid w:val="002E227A"/>
    <w:rsid w:val="002E261D"/>
    <w:rsid w:val="002E26B7"/>
    <w:rsid w:val="002E2776"/>
    <w:rsid w:val="002E2A57"/>
    <w:rsid w:val="002E2E03"/>
    <w:rsid w:val="002E2EE9"/>
    <w:rsid w:val="002E2F44"/>
    <w:rsid w:val="002E31D3"/>
    <w:rsid w:val="002E34DA"/>
    <w:rsid w:val="002E3BD6"/>
    <w:rsid w:val="002E3DCA"/>
    <w:rsid w:val="002E412E"/>
    <w:rsid w:val="002E41FE"/>
    <w:rsid w:val="002E4460"/>
    <w:rsid w:val="002E449A"/>
    <w:rsid w:val="002E46D6"/>
    <w:rsid w:val="002E4803"/>
    <w:rsid w:val="002E481A"/>
    <w:rsid w:val="002E4EE8"/>
    <w:rsid w:val="002E516A"/>
    <w:rsid w:val="002E5215"/>
    <w:rsid w:val="002E534A"/>
    <w:rsid w:val="002E55F2"/>
    <w:rsid w:val="002E5952"/>
    <w:rsid w:val="002E5B56"/>
    <w:rsid w:val="002E6444"/>
    <w:rsid w:val="002E6447"/>
    <w:rsid w:val="002E658C"/>
    <w:rsid w:val="002E65C4"/>
    <w:rsid w:val="002E6BFA"/>
    <w:rsid w:val="002E6C18"/>
    <w:rsid w:val="002E6D00"/>
    <w:rsid w:val="002E6D66"/>
    <w:rsid w:val="002E7171"/>
    <w:rsid w:val="002E790C"/>
    <w:rsid w:val="002F0116"/>
    <w:rsid w:val="002F0123"/>
    <w:rsid w:val="002F019D"/>
    <w:rsid w:val="002F0792"/>
    <w:rsid w:val="002F0925"/>
    <w:rsid w:val="002F1924"/>
    <w:rsid w:val="002F1CC6"/>
    <w:rsid w:val="002F1CE8"/>
    <w:rsid w:val="002F1DE1"/>
    <w:rsid w:val="002F1EEE"/>
    <w:rsid w:val="002F255E"/>
    <w:rsid w:val="002F2650"/>
    <w:rsid w:val="002F291E"/>
    <w:rsid w:val="002F2E70"/>
    <w:rsid w:val="002F31AD"/>
    <w:rsid w:val="002F31CE"/>
    <w:rsid w:val="002F321F"/>
    <w:rsid w:val="002F3480"/>
    <w:rsid w:val="002F3502"/>
    <w:rsid w:val="002F3698"/>
    <w:rsid w:val="002F3F00"/>
    <w:rsid w:val="002F4284"/>
    <w:rsid w:val="002F452F"/>
    <w:rsid w:val="002F4734"/>
    <w:rsid w:val="002F4C92"/>
    <w:rsid w:val="002F51E6"/>
    <w:rsid w:val="002F52AF"/>
    <w:rsid w:val="002F5316"/>
    <w:rsid w:val="002F59BA"/>
    <w:rsid w:val="002F5B76"/>
    <w:rsid w:val="002F5EB9"/>
    <w:rsid w:val="002F6033"/>
    <w:rsid w:val="002F60CE"/>
    <w:rsid w:val="002F6284"/>
    <w:rsid w:val="002F63F4"/>
    <w:rsid w:val="002F6518"/>
    <w:rsid w:val="002F6795"/>
    <w:rsid w:val="002F6E28"/>
    <w:rsid w:val="002F75D5"/>
    <w:rsid w:val="002F75F0"/>
    <w:rsid w:val="002F7641"/>
    <w:rsid w:val="002F77A2"/>
    <w:rsid w:val="002F7830"/>
    <w:rsid w:val="0030037A"/>
    <w:rsid w:val="003004F5"/>
    <w:rsid w:val="00300C42"/>
    <w:rsid w:val="003013F6"/>
    <w:rsid w:val="0030191D"/>
    <w:rsid w:val="00301FEF"/>
    <w:rsid w:val="0030225F"/>
    <w:rsid w:val="0030234D"/>
    <w:rsid w:val="00302386"/>
    <w:rsid w:val="00302487"/>
    <w:rsid w:val="0030263A"/>
    <w:rsid w:val="003029B4"/>
    <w:rsid w:val="00302A67"/>
    <w:rsid w:val="00302A8B"/>
    <w:rsid w:val="00302AE7"/>
    <w:rsid w:val="00303425"/>
    <w:rsid w:val="003039DE"/>
    <w:rsid w:val="00303AD5"/>
    <w:rsid w:val="003040DF"/>
    <w:rsid w:val="0030413D"/>
    <w:rsid w:val="003043D8"/>
    <w:rsid w:val="00304556"/>
    <w:rsid w:val="00304E7F"/>
    <w:rsid w:val="00304E93"/>
    <w:rsid w:val="00304FB6"/>
    <w:rsid w:val="00305A89"/>
    <w:rsid w:val="00305A96"/>
    <w:rsid w:val="00305E98"/>
    <w:rsid w:val="00306929"/>
    <w:rsid w:val="00307162"/>
    <w:rsid w:val="00307DEC"/>
    <w:rsid w:val="00310562"/>
    <w:rsid w:val="00310B55"/>
    <w:rsid w:val="00310C2F"/>
    <w:rsid w:val="003124A8"/>
    <w:rsid w:val="003127D9"/>
    <w:rsid w:val="0031283F"/>
    <w:rsid w:val="003128DF"/>
    <w:rsid w:val="00312B92"/>
    <w:rsid w:val="00312B9B"/>
    <w:rsid w:val="00312CF7"/>
    <w:rsid w:val="00312DD9"/>
    <w:rsid w:val="00313967"/>
    <w:rsid w:val="00313E10"/>
    <w:rsid w:val="00313F6C"/>
    <w:rsid w:val="00314333"/>
    <w:rsid w:val="003143FC"/>
    <w:rsid w:val="00314809"/>
    <w:rsid w:val="00314831"/>
    <w:rsid w:val="00314936"/>
    <w:rsid w:val="0031496C"/>
    <w:rsid w:val="00314BD4"/>
    <w:rsid w:val="00314D57"/>
    <w:rsid w:val="0031543F"/>
    <w:rsid w:val="0031552B"/>
    <w:rsid w:val="003155D4"/>
    <w:rsid w:val="003156FC"/>
    <w:rsid w:val="00315F30"/>
    <w:rsid w:val="003165BD"/>
    <w:rsid w:val="00316638"/>
    <w:rsid w:val="00316735"/>
    <w:rsid w:val="003167D1"/>
    <w:rsid w:val="0031687B"/>
    <w:rsid w:val="003169FD"/>
    <w:rsid w:val="00316F36"/>
    <w:rsid w:val="00317601"/>
    <w:rsid w:val="0031760A"/>
    <w:rsid w:val="0031773A"/>
    <w:rsid w:val="003177E0"/>
    <w:rsid w:val="0031784B"/>
    <w:rsid w:val="003179B1"/>
    <w:rsid w:val="00317D6B"/>
    <w:rsid w:val="00320309"/>
    <w:rsid w:val="00320ADB"/>
    <w:rsid w:val="00320C70"/>
    <w:rsid w:val="0032101C"/>
    <w:rsid w:val="00321133"/>
    <w:rsid w:val="003214EA"/>
    <w:rsid w:val="00321D1A"/>
    <w:rsid w:val="00321E63"/>
    <w:rsid w:val="00323099"/>
    <w:rsid w:val="0032336C"/>
    <w:rsid w:val="003236E7"/>
    <w:rsid w:val="00323952"/>
    <w:rsid w:val="003239E5"/>
    <w:rsid w:val="00323B57"/>
    <w:rsid w:val="00323C07"/>
    <w:rsid w:val="003240C6"/>
    <w:rsid w:val="00324586"/>
    <w:rsid w:val="00324F40"/>
    <w:rsid w:val="00324FED"/>
    <w:rsid w:val="00325318"/>
    <w:rsid w:val="00325463"/>
    <w:rsid w:val="00325834"/>
    <w:rsid w:val="003258AC"/>
    <w:rsid w:val="00325A16"/>
    <w:rsid w:val="00325DEC"/>
    <w:rsid w:val="0032658C"/>
    <w:rsid w:val="00326A44"/>
    <w:rsid w:val="00326BBE"/>
    <w:rsid w:val="00326FC5"/>
    <w:rsid w:val="00327340"/>
    <w:rsid w:val="00327424"/>
    <w:rsid w:val="00327AF5"/>
    <w:rsid w:val="00327C26"/>
    <w:rsid w:val="00327CBE"/>
    <w:rsid w:val="00327DFD"/>
    <w:rsid w:val="00330223"/>
    <w:rsid w:val="003302B2"/>
    <w:rsid w:val="003304F1"/>
    <w:rsid w:val="00330606"/>
    <w:rsid w:val="003308D8"/>
    <w:rsid w:val="0033103C"/>
    <w:rsid w:val="00331814"/>
    <w:rsid w:val="00331D51"/>
    <w:rsid w:val="00331E86"/>
    <w:rsid w:val="00331FDF"/>
    <w:rsid w:val="003321A3"/>
    <w:rsid w:val="003321F6"/>
    <w:rsid w:val="0033230F"/>
    <w:rsid w:val="00332608"/>
    <w:rsid w:val="00332677"/>
    <w:rsid w:val="00332D22"/>
    <w:rsid w:val="00332E81"/>
    <w:rsid w:val="00333A49"/>
    <w:rsid w:val="00334C2D"/>
    <w:rsid w:val="00334C7F"/>
    <w:rsid w:val="00335167"/>
    <w:rsid w:val="00335284"/>
    <w:rsid w:val="003354DA"/>
    <w:rsid w:val="003355DC"/>
    <w:rsid w:val="00335A08"/>
    <w:rsid w:val="00335AF0"/>
    <w:rsid w:val="00335E16"/>
    <w:rsid w:val="00335E3E"/>
    <w:rsid w:val="00335F9B"/>
    <w:rsid w:val="003374D0"/>
    <w:rsid w:val="00337565"/>
    <w:rsid w:val="003378BB"/>
    <w:rsid w:val="00337987"/>
    <w:rsid w:val="003379E0"/>
    <w:rsid w:val="00337C19"/>
    <w:rsid w:val="00337ECC"/>
    <w:rsid w:val="003402FF"/>
    <w:rsid w:val="003403BD"/>
    <w:rsid w:val="00340C6A"/>
    <w:rsid w:val="0034157D"/>
    <w:rsid w:val="00341741"/>
    <w:rsid w:val="003417AE"/>
    <w:rsid w:val="00341B66"/>
    <w:rsid w:val="00341C12"/>
    <w:rsid w:val="00342284"/>
    <w:rsid w:val="00342340"/>
    <w:rsid w:val="0034255E"/>
    <w:rsid w:val="003425F4"/>
    <w:rsid w:val="0034287E"/>
    <w:rsid w:val="00342E32"/>
    <w:rsid w:val="00342FD3"/>
    <w:rsid w:val="003431AA"/>
    <w:rsid w:val="003434C9"/>
    <w:rsid w:val="00343763"/>
    <w:rsid w:val="00343941"/>
    <w:rsid w:val="00343C78"/>
    <w:rsid w:val="003440C7"/>
    <w:rsid w:val="00344108"/>
    <w:rsid w:val="003450A5"/>
    <w:rsid w:val="00345427"/>
    <w:rsid w:val="0034553D"/>
    <w:rsid w:val="0034564C"/>
    <w:rsid w:val="00345BDE"/>
    <w:rsid w:val="00345CA9"/>
    <w:rsid w:val="00345DB8"/>
    <w:rsid w:val="00346352"/>
    <w:rsid w:val="003464B5"/>
    <w:rsid w:val="00346EB4"/>
    <w:rsid w:val="00347303"/>
    <w:rsid w:val="0034791F"/>
    <w:rsid w:val="00347946"/>
    <w:rsid w:val="00347C84"/>
    <w:rsid w:val="00350212"/>
    <w:rsid w:val="0035031F"/>
    <w:rsid w:val="003503A0"/>
    <w:rsid w:val="00350587"/>
    <w:rsid w:val="00350A2B"/>
    <w:rsid w:val="00350CDD"/>
    <w:rsid w:val="00350EE0"/>
    <w:rsid w:val="00350EE8"/>
    <w:rsid w:val="0035178D"/>
    <w:rsid w:val="00351A7E"/>
    <w:rsid w:val="0035292B"/>
    <w:rsid w:val="00352C82"/>
    <w:rsid w:val="00353677"/>
    <w:rsid w:val="003537F1"/>
    <w:rsid w:val="0035398B"/>
    <w:rsid w:val="0035409D"/>
    <w:rsid w:val="00354715"/>
    <w:rsid w:val="00354EEA"/>
    <w:rsid w:val="0035505A"/>
    <w:rsid w:val="00355112"/>
    <w:rsid w:val="0035521E"/>
    <w:rsid w:val="00355526"/>
    <w:rsid w:val="0035554E"/>
    <w:rsid w:val="00355961"/>
    <w:rsid w:val="00355DE3"/>
    <w:rsid w:val="00356088"/>
    <w:rsid w:val="00356181"/>
    <w:rsid w:val="00356762"/>
    <w:rsid w:val="0035698D"/>
    <w:rsid w:val="00357048"/>
    <w:rsid w:val="003579C3"/>
    <w:rsid w:val="00357E97"/>
    <w:rsid w:val="00360402"/>
    <w:rsid w:val="003617A3"/>
    <w:rsid w:val="00361878"/>
    <w:rsid w:val="00361A1B"/>
    <w:rsid w:val="003620B8"/>
    <w:rsid w:val="0036252F"/>
    <w:rsid w:val="00362687"/>
    <w:rsid w:val="003626FD"/>
    <w:rsid w:val="00362A3D"/>
    <w:rsid w:val="00362EE3"/>
    <w:rsid w:val="00362FAE"/>
    <w:rsid w:val="00363511"/>
    <w:rsid w:val="00363643"/>
    <w:rsid w:val="00363B3B"/>
    <w:rsid w:val="00363BCA"/>
    <w:rsid w:val="00363D45"/>
    <w:rsid w:val="00363EA8"/>
    <w:rsid w:val="00363EB1"/>
    <w:rsid w:val="003640D4"/>
    <w:rsid w:val="00364875"/>
    <w:rsid w:val="00364AF0"/>
    <w:rsid w:val="00364B57"/>
    <w:rsid w:val="00365D44"/>
    <w:rsid w:val="00365FC5"/>
    <w:rsid w:val="003666BA"/>
    <w:rsid w:val="003669DA"/>
    <w:rsid w:val="00367804"/>
    <w:rsid w:val="00367950"/>
    <w:rsid w:val="00367BDC"/>
    <w:rsid w:val="00367E6F"/>
    <w:rsid w:val="00367F01"/>
    <w:rsid w:val="0037051B"/>
    <w:rsid w:val="00370548"/>
    <w:rsid w:val="0037066E"/>
    <w:rsid w:val="00370915"/>
    <w:rsid w:val="003709C0"/>
    <w:rsid w:val="00370A9E"/>
    <w:rsid w:val="00370B36"/>
    <w:rsid w:val="00370D0B"/>
    <w:rsid w:val="00370D40"/>
    <w:rsid w:val="00371B98"/>
    <w:rsid w:val="00372425"/>
    <w:rsid w:val="003728A1"/>
    <w:rsid w:val="00372F2C"/>
    <w:rsid w:val="00373089"/>
    <w:rsid w:val="003734D9"/>
    <w:rsid w:val="0037353A"/>
    <w:rsid w:val="00373F2C"/>
    <w:rsid w:val="00373FF1"/>
    <w:rsid w:val="00374292"/>
    <w:rsid w:val="00374815"/>
    <w:rsid w:val="00374A3A"/>
    <w:rsid w:val="00374BEF"/>
    <w:rsid w:val="00374EB7"/>
    <w:rsid w:val="00374F83"/>
    <w:rsid w:val="003752F5"/>
    <w:rsid w:val="003755B9"/>
    <w:rsid w:val="00375769"/>
    <w:rsid w:val="00375B00"/>
    <w:rsid w:val="00375B56"/>
    <w:rsid w:val="00375D7F"/>
    <w:rsid w:val="00375EA8"/>
    <w:rsid w:val="00375F28"/>
    <w:rsid w:val="00376071"/>
    <w:rsid w:val="00376452"/>
    <w:rsid w:val="003764F0"/>
    <w:rsid w:val="00376789"/>
    <w:rsid w:val="0037686E"/>
    <w:rsid w:val="00376A26"/>
    <w:rsid w:val="00376C9E"/>
    <w:rsid w:val="003771AC"/>
    <w:rsid w:val="003774A1"/>
    <w:rsid w:val="00377978"/>
    <w:rsid w:val="00377A56"/>
    <w:rsid w:val="00377BDC"/>
    <w:rsid w:val="00377E22"/>
    <w:rsid w:val="00377F23"/>
    <w:rsid w:val="0038051E"/>
    <w:rsid w:val="003807FF"/>
    <w:rsid w:val="00380952"/>
    <w:rsid w:val="00380C01"/>
    <w:rsid w:val="0038111E"/>
    <w:rsid w:val="003811F5"/>
    <w:rsid w:val="00381733"/>
    <w:rsid w:val="00381849"/>
    <w:rsid w:val="00381938"/>
    <w:rsid w:val="0038225F"/>
    <w:rsid w:val="00382400"/>
    <w:rsid w:val="0038286A"/>
    <w:rsid w:val="00383499"/>
    <w:rsid w:val="00383A35"/>
    <w:rsid w:val="00383AAA"/>
    <w:rsid w:val="00383C63"/>
    <w:rsid w:val="00384748"/>
    <w:rsid w:val="003849A8"/>
    <w:rsid w:val="00384B2C"/>
    <w:rsid w:val="00384FEC"/>
    <w:rsid w:val="0038511D"/>
    <w:rsid w:val="0038543D"/>
    <w:rsid w:val="0038575A"/>
    <w:rsid w:val="00385B13"/>
    <w:rsid w:val="003860A6"/>
    <w:rsid w:val="003860BA"/>
    <w:rsid w:val="003860DC"/>
    <w:rsid w:val="00386356"/>
    <w:rsid w:val="003864AE"/>
    <w:rsid w:val="00386568"/>
    <w:rsid w:val="00386DAD"/>
    <w:rsid w:val="0038710F"/>
    <w:rsid w:val="00387366"/>
    <w:rsid w:val="00387AD6"/>
    <w:rsid w:val="00390002"/>
    <w:rsid w:val="003901B3"/>
    <w:rsid w:val="00390EA6"/>
    <w:rsid w:val="00390FA2"/>
    <w:rsid w:val="00390FD0"/>
    <w:rsid w:val="00391577"/>
    <w:rsid w:val="00391D6C"/>
    <w:rsid w:val="00392261"/>
    <w:rsid w:val="003926F8"/>
    <w:rsid w:val="00392862"/>
    <w:rsid w:val="00392892"/>
    <w:rsid w:val="00392965"/>
    <w:rsid w:val="00392ACA"/>
    <w:rsid w:val="00392E53"/>
    <w:rsid w:val="00393140"/>
    <w:rsid w:val="00393507"/>
    <w:rsid w:val="00393611"/>
    <w:rsid w:val="00393D3D"/>
    <w:rsid w:val="00393F31"/>
    <w:rsid w:val="003945FB"/>
    <w:rsid w:val="00394D6C"/>
    <w:rsid w:val="003951E6"/>
    <w:rsid w:val="00395256"/>
    <w:rsid w:val="003957FD"/>
    <w:rsid w:val="00395BE3"/>
    <w:rsid w:val="00395CBD"/>
    <w:rsid w:val="00396310"/>
    <w:rsid w:val="00396388"/>
    <w:rsid w:val="003965DF"/>
    <w:rsid w:val="00396607"/>
    <w:rsid w:val="00396778"/>
    <w:rsid w:val="00396DBF"/>
    <w:rsid w:val="00397A77"/>
    <w:rsid w:val="00397DB0"/>
    <w:rsid w:val="00397F5E"/>
    <w:rsid w:val="00397F9D"/>
    <w:rsid w:val="003A0286"/>
    <w:rsid w:val="003A03EC"/>
    <w:rsid w:val="003A04B4"/>
    <w:rsid w:val="003A0BAD"/>
    <w:rsid w:val="003A0ED0"/>
    <w:rsid w:val="003A10A7"/>
    <w:rsid w:val="003A119B"/>
    <w:rsid w:val="003A1460"/>
    <w:rsid w:val="003A1872"/>
    <w:rsid w:val="003A1BCE"/>
    <w:rsid w:val="003A1C1A"/>
    <w:rsid w:val="003A1CA9"/>
    <w:rsid w:val="003A2019"/>
    <w:rsid w:val="003A2225"/>
    <w:rsid w:val="003A2616"/>
    <w:rsid w:val="003A268F"/>
    <w:rsid w:val="003A3E3B"/>
    <w:rsid w:val="003A3EAE"/>
    <w:rsid w:val="003A3EC5"/>
    <w:rsid w:val="003A3FE6"/>
    <w:rsid w:val="003A4825"/>
    <w:rsid w:val="003A48BC"/>
    <w:rsid w:val="003A4AA0"/>
    <w:rsid w:val="003A4BA3"/>
    <w:rsid w:val="003A5081"/>
    <w:rsid w:val="003A5272"/>
    <w:rsid w:val="003A55F1"/>
    <w:rsid w:val="003A5B6E"/>
    <w:rsid w:val="003A62CA"/>
    <w:rsid w:val="003A659D"/>
    <w:rsid w:val="003A6D15"/>
    <w:rsid w:val="003A7A93"/>
    <w:rsid w:val="003B01E2"/>
    <w:rsid w:val="003B022D"/>
    <w:rsid w:val="003B0E9D"/>
    <w:rsid w:val="003B1015"/>
    <w:rsid w:val="003B1173"/>
    <w:rsid w:val="003B13C3"/>
    <w:rsid w:val="003B2E89"/>
    <w:rsid w:val="003B3B57"/>
    <w:rsid w:val="003B3B96"/>
    <w:rsid w:val="003B3D08"/>
    <w:rsid w:val="003B3F69"/>
    <w:rsid w:val="003B410B"/>
    <w:rsid w:val="003B427D"/>
    <w:rsid w:val="003B4461"/>
    <w:rsid w:val="003B44BD"/>
    <w:rsid w:val="003B4616"/>
    <w:rsid w:val="003B48E4"/>
    <w:rsid w:val="003B4F1E"/>
    <w:rsid w:val="003B5E06"/>
    <w:rsid w:val="003B6238"/>
    <w:rsid w:val="003B62C4"/>
    <w:rsid w:val="003B6419"/>
    <w:rsid w:val="003B69E6"/>
    <w:rsid w:val="003B6AF8"/>
    <w:rsid w:val="003B73C4"/>
    <w:rsid w:val="003B76C7"/>
    <w:rsid w:val="003B7B77"/>
    <w:rsid w:val="003C007D"/>
    <w:rsid w:val="003C03ED"/>
    <w:rsid w:val="003C0575"/>
    <w:rsid w:val="003C0784"/>
    <w:rsid w:val="003C10C3"/>
    <w:rsid w:val="003C23FE"/>
    <w:rsid w:val="003C284D"/>
    <w:rsid w:val="003C2A9F"/>
    <w:rsid w:val="003C2CD0"/>
    <w:rsid w:val="003C3034"/>
    <w:rsid w:val="003C3518"/>
    <w:rsid w:val="003C3E4E"/>
    <w:rsid w:val="003C406D"/>
    <w:rsid w:val="003C449E"/>
    <w:rsid w:val="003C4CDD"/>
    <w:rsid w:val="003C4EF1"/>
    <w:rsid w:val="003C4FE1"/>
    <w:rsid w:val="003C5019"/>
    <w:rsid w:val="003C58E4"/>
    <w:rsid w:val="003C5CBF"/>
    <w:rsid w:val="003C5FCA"/>
    <w:rsid w:val="003C6468"/>
    <w:rsid w:val="003C655B"/>
    <w:rsid w:val="003C6AA0"/>
    <w:rsid w:val="003C6DC5"/>
    <w:rsid w:val="003C72F9"/>
    <w:rsid w:val="003C73D2"/>
    <w:rsid w:val="003C75D3"/>
    <w:rsid w:val="003C7648"/>
    <w:rsid w:val="003C7713"/>
    <w:rsid w:val="003C7740"/>
    <w:rsid w:val="003C799D"/>
    <w:rsid w:val="003C7A7F"/>
    <w:rsid w:val="003C7D1F"/>
    <w:rsid w:val="003D053C"/>
    <w:rsid w:val="003D0611"/>
    <w:rsid w:val="003D1165"/>
    <w:rsid w:val="003D116F"/>
    <w:rsid w:val="003D13CC"/>
    <w:rsid w:val="003D13EE"/>
    <w:rsid w:val="003D173E"/>
    <w:rsid w:val="003D1785"/>
    <w:rsid w:val="003D194B"/>
    <w:rsid w:val="003D19C3"/>
    <w:rsid w:val="003D1CBA"/>
    <w:rsid w:val="003D28BD"/>
    <w:rsid w:val="003D28E7"/>
    <w:rsid w:val="003D2DD1"/>
    <w:rsid w:val="003D2E66"/>
    <w:rsid w:val="003D3058"/>
    <w:rsid w:val="003D30D1"/>
    <w:rsid w:val="003D3F72"/>
    <w:rsid w:val="003D493A"/>
    <w:rsid w:val="003D509D"/>
    <w:rsid w:val="003D51F7"/>
    <w:rsid w:val="003D565D"/>
    <w:rsid w:val="003D5B1C"/>
    <w:rsid w:val="003D69F9"/>
    <w:rsid w:val="003D6D9B"/>
    <w:rsid w:val="003D708A"/>
    <w:rsid w:val="003D7D8F"/>
    <w:rsid w:val="003E00D9"/>
    <w:rsid w:val="003E042A"/>
    <w:rsid w:val="003E0AAB"/>
    <w:rsid w:val="003E0D43"/>
    <w:rsid w:val="003E0F58"/>
    <w:rsid w:val="003E14D7"/>
    <w:rsid w:val="003E19A9"/>
    <w:rsid w:val="003E1A59"/>
    <w:rsid w:val="003E1AE3"/>
    <w:rsid w:val="003E1DCF"/>
    <w:rsid w:val="003E1F0A"/>
    <w:rsid w:val="003E2BAB"/>
    <w:rsid w:val="003E2F62"/>
    <w:rsid w:val="003E32F7"/>
    <w:rsid w:val="003E3583"/>
    <w:rsid w:val="003E3856"/>
    <w:rsid w:val="003E3B5B"/>
    <w:rsid w:val="003E3C65"/>
    <w:rsid w:val="003E4455"/>
    <w:rsid w:val="003E47E3"/>
    <w:rsid w:val="003E4F49"/>
    <w:rsid w:val="003E54E2"/>
    <w:rsid w:val="003E58DC"/>
    <w:rsid w:val="003E5B71"/>
    <w:rsid w:val="003E6246"/>
    <w:rsid w:val="003E6581"/>
    <w:rsid w:val="003E69AA"/>
    <w:rsid w:val="003E6E66"/>
    <w:rsid w:val="003E6EF4"/>
    <w:rsid w:val="003E71B2"/>
    <w:rsid w:val="003E71E5"/>
    <w:rsid w:val="003E7310"/>
    <w:rsid w:val="003E770A"/>
    <w:rsid w:val="003E78A4"/>
    <w:rsid w:val="003F018D"/>
    <w:rsid w:val="003F02DC"/>
    <w:rsid w:val="003F0904"/>
    <w:rsid w:val="003F09E1"/>
    <w:rsid w:val="003F0DBB"/>
    <w:rsid w:val="003F0FD5"/>
    <w:rsid w:val="003F131F"/>
    <w:rsid w:val="003F1A87"/>
    <w:rsid w:val="003F1E98"/>
    <w:rsid w:val="003F2639"/>
    <w:rsid w:val="003F303D"/>
    <w:rsid w:val="003F304A"/>
    <w:rsid w:val="003F39AD"/>
    <w:rsid w:val="003F3BC4"/>
    <w:rsid w:val="003F3EAA"/>
    <w:rsid w:val="003F48A9"/>
    <w:rsid w:val="003F4A56"/>
    <w:rsid w:val="003F5372"/>
    <w:rsid w:val="003F5510"/>
    <w:rsid w:val="003F5BC1"/>
    <w:rsid w:val="003F65DA"/>
    <w:rsid w:val="003F6904"/>
    <w:rsid w:val="003F6B1F"/>
    <w:rsid w:val="003F6BE5"/>
    <w:rsid w:val="003F70DD"/>
    <w:rsid w:val="003F710C"/>
    <w:rsid w:val="003F7B73"/>
    <w:rsid w:val="004005AA"/>
    <w:rsid w:val="00400A25"/>
    <w:rsid w:val="004017D7"/>
    <w:rsid w:val="004018D3"/>
    <w:rsid w:val="00401FCF"/>
    <w:rsid w:val="0040200C"/>
    <w:rsid w:val="004024CB"/>
    <w:rsid w:val="004031EF"/>
    <w:rsid w:val="004038BF"/>
    <w:rsid w:val="00403F5A"/>
    <w:rsid w:val="004044B9"/>
    <w:rsid w:val="004044DF"/>
    <w:rsid w:val="00404585"/>
    <w:rsid w:val="004048B8"/>
    <w:rsid w:val="00404A8C"/>
    <w:rsid w:val="00404CBD"/>
    <w:rsid w:val="004052E4"/>
    <w:rsid w:val="00405454"/>
    <w:rsid w:val="00405A89"/>
    <w:rsid w:val="00405F3E"/>
    <w:rsid w:val="00406089"/>
    <w:rsid w:val="00406464"/>
    <w:rsid w:val="00406B4B"/>
    <w:rsid w:val="00406E4B"/>
    <w:rsid w:val="00406ECC"/>
    <w:rsid w:val="00407735"/>
    <w:rsid w:val="00407969"/>
    <w:rsid w:val="00407996"/>
    <w:rsid w:val="00407BC2"/>
    <w:rsid w:val="00407FF4"/>
    <w:rsid w:val="0041014B"/>
    <w:rsid w:val="004103DE"/>
    <w:rsid w:val="004105A9"/>
    <w:rsid w:val="00410A04"/>
    <w:rsid w:val="00410A10"/>
    <w:rsid w:val="00410AA0"/>
    <w:rsid w:val="00411002"/>
    <w:rsid w:val="004112DC"/>
    <w:rsid w:val="004113AA"/>
    <w:rsid w:val="004115DD"/>
    <w:rsid w:val="0041169D"/>
    <w:rsid w:val="004117B2"/>
    <w:rsid w:val="00411800"/>
    <w:rsid w:val="004118E1"/>
    <w:rsid w:val="00412C14"/>
    <w:rsid w:val="00413553"/>
    <w:rsid w:val="004135A3"/>
    <w:rsid w:val="00413735"/>
    <w:rsid w:val="00413B6E"/>
    <w:rsid w:val="00414840"/>
    <w:rsid w:val="00415059"/>
    <w:rsid w:val="0041505C"/>
    <w:rsid w:val="00415731"/>
    <w:rsid w:val="00415740"/>
    <w:rsid w:val="00415ADE"/>
    <w:rsid w:val="00415C34"/>
    <w:rsid w:val="004161A4"/>
    <w:rsid w:val="0041627C"/>
    <w:rsid w:val="00416C76"/>
    <w:rsid w:val="00417063"/>
    <w:rsid w:val="00417093"/>
    <w:rsid w:val="004171B1"/>
    <w:rsid w:val="00417291"/>
    <w:rsid w:val="004172C7"/>
    <w:rsid w:val="004175A0"/>
    <w:rsid w:val="00417A2A"/>
    <w:rsid w:val="00417AE2"/>
    <w:rsid w:val="00417DD2"/>
    <w:rsid w:val="004203CC"/>
    <w:rsid w:val="00420934"/>
    <w:rsid w:val="00420C11"/>
    <w:rsid w:val="004214A7"/>
    <w:rsid w:val="00421589"/>
    <w:rsid w:val="00421B98"/>
    <w:rsid w:val="00421CC3"/>
    <w:rsid w:val="004221F1"/>
    <w:rsid w:val="00422821"/>
    <w:rsid w:val="00423248"/>
    <w:rsid w:val="00423293"/>
    <w:rsid w:val="0042365D"/>
    <w:rsid w:val="00423EE9"/>
    <w:rsid w:val="004246B5"/>
    <w:rsid w:val="0042479E"/>
    <w:rsid w:val="004247E6"/>
    <w:rsid w:val="004253B7"/>
    <w:rsid w:val="0042553E"/>
    <w:rsid w:val="004255E5"/>
    <w:rsid w:val="00425A3A"/>
    <w:rsid w:val="00426432"/>
    <w:rsid w:val="00426540"/>
    <w:rsid w:val="00426595"/>
    <w:rsid w:val="004265DF"/>
    <w:rsid w:val="00426C9E"/>
    <w:rsid w:val="00426F6B"/>
    <w:rsid w:val="00427440"/>
    <w:rsid w:val="004275A8"/>
    <w:rsid w:val="004277DD"/>
    <w:rsid w:val="0042796E"/>
    <w:rsid w:val="00427B1B"/>
    <w:rsid w:val="00427C2C"/>
    <w:rsid w:val="00430D6E"/>
    <w:rsid w:val="00430DF5"/>
    <w:rsid w:val="004310BF"/>
    <w:rsid w:val="00431320"/>
    <w:rsid w:val="004313C6"/>
    <w:rsid w:val="00431770"/>
    <w:rsid w:val="00431955"/>
    <w:rsid w:val="00431CEA"/>
    <w:rsid w:val="00432796"/>
    <w:rsid w:val="00432BAB"/>
    <w:rsid w:val="00432D0F"/>
    <w:rsid w:val="00432E57"/>
    <w:rsid w:val="00432EB8"/>
    <w:rsid w:val="00433132"/>
    <w:rsid w:val="00433B73"/>
    <w:rsid w:val="00433F79"/>
    <w:rsid w:val="0043432A"/>
    <w:rsid w:val="00434653"/>
    <w:rsid w:val="00434A64"/>
    <w:rsid w:val="00434F19"/>
    <w:rsid w:val="00436313"/>
    <w:rsid w:val="0043635F"/>
    <w:rsid w:val="004367F8"/>
    <w:rsid w:val="00436C09"/>
    <w:rsid w:val="00436EA5"/>
    <w:rsid w:val="004370B5"/>
    <w:rsid w:val="004373F6"/>
    <w:rsid w:val="004373F8"/>
    <w:rsid w:val="00437647"/>
    <w:rsid w:val="00437F3A"/>
    <w:rsid w:val="0044037D"/>
    <w:rsid w:val="0044050B"/>
    <w:rsid w:val="00440961"/>
    <w:rsid w:val="00440A24"/>
    <w:rsid w:val="00440DE0"/>
    <w:rsid w:val="00440E69"/>
    <w:rsid w:val="00441F38"/>
    <w:rsid w:val="00441FE3"/>
    <w:rsid w:val="004424E8"/>
    <w:rsid w:val="00442DCF"/>
    <w:rsid w:val="004431A3"/>
    <w:rsid w:val="00443971"/>
    <w:rsid w:val="004439B3"/>
    <w:rsid w:val="00443CB0"/>
    <w:rsid w:val="00443D41"/>
    <w:rsid w:val="004440AA"/>
    <w:rsid w:val="00445626"/>
    <w:rsid w:val="004456FF"/>
    <w:rsid w:val="00445C0F"/>
    <w:rsid w:val="00446628"/>
    <w:rsid w:val="004472A4"/>
    <w:rsid w:val="004473C0"/>
    <w:rsid w:val="004479A6"/>
    <w:rsid w:val="00447F15"/>
    <w:rsid w:val="00450573"/>
    <w:rsid w:val="00450A6B"/>
    <w:rsid w:val="00450B29"/>
    <w:rsid w:val="00450F84"/>
    <w:rsid w:val="004515F9"/>
    <w:rsid w:val="00451CCD"/>
    <w:rsid w:val="004524F6"/>
    <w:rsid w:val="00452591"/>
    <w:rsid w:val="00452D2A"/>
    <w:rsid w:val="00452DBE"/>
    <w:rsid w:val="00452E1F"/>
    <w:rsid w:val="0045402D"/>
    <w:rsid w:val="00454307"/>
    <w:rsid w:val="0045485E"/>
    <w:rsid w:val="00454C57"/>
    <w:rsid w:val="00454CAD"/>
    <w:rsid w:val="00454D4E"/>
    <w:rsid w:val="00454F2F"/>
    <w:rsid w:val="00455C1D"/>
    <w:rsid w:val="00455C6D"/>
    <w:rsid w:val="00456285"/>
    <w:rsid w:val="0045653D"/>
    <w:rsid w:val="00456777"/>
    <w:rsid w:val="00456B84"/>
    <w:rsid w:val="00456BCA"/>
    <w:rsid w:val="00456CCA"/>
    <w:rsid w:val="00456D7C"/>
    <w:rsid w:val="00456F60"/>
    <w:rsid w:val="00457104"/>
    <w:rsid w:val="0045738F"/>
    <w:rsid w:val="00457A46"/>
    <w:rsid w:val="00460209"/>
    <w:rsid w:val="004613FA"/>
    <w:rsid w:val="00461904"/>
    <w:rsid w:val="00462206"/>
    <w:rsid w:val="0046223A"/>
    <w:rsid w:val="0046263A"/>
    <w:rsid w:val="004628B7"/>
    <w:rsid w:val="004628F2"/>
    <w:rsid w:val="00462B02"/>
    <w:rsid w:val="00463661"/>
    <w:rsid w:val="00463A31"/>
    <w:rsid w:val="00463BEA"/>
    <w:rsid w:val="00463F6E"/>
    <w:rsid w:val="00464077"/>
    <w:rsid w:val="00464AB1"/>
    <w:rsid w:val="00464EF7"/>
    <w:rsid w:val="00465E0F"/>
    <w:rsid w:val="004662D8"/>
    <w:rsid w:val="004663E3"/>
    <w:rsid w:val="0046684D"/>
    <w:rsid w:val="00466CCA"/>
    <w:rsid w:val="004679A9"/>
    <w:rsid w:val="0047009B"/>
    <w:rsid w:val="00470854"/>
    <w:rsid w:val="004709A3"/>
    <w:rsid w:val="00470A8D"/>
    <w:rsid w:val="00470AEF"/>
    <w:rsid w:val="00470B72"/>
    <w:rsid w:val="00470D19"/>
    <w:rsid w:val="004714DB"/>
    <w:rsid w:val="004717D1"/>
    <w:rsid w:val="00471A5E"/>
    <w:rsid w:val="00471CEC"/>
    <w:rsid w:val="00471E00"/>
    <w:rsid w:val="004722D1"/>
    <w:rsid w:val="00472992"/>
    <w:rsid w:val="00472A1E"/>
    <w:rsid w:val="00472C4B"/>
    <w:rsid w:val="00473645"/>
    <w:rsid w:val="00473772"/>
    <w:rsid w:val="00473CB0"/>
    <w:rsid w:val="00474245"/>
    <w:rsid w:val="004742B0"/>
    <w:rsid w:val="004745D2"/>
    <w:rsid w:val="004748EB"/>
    <w:rsid w:val="004749B8"/>
    <w:rsid w:val="00474C42"/>
    <w:rsid w:val="00474CCD"/>
    <w:rsid w:val="00474DB6"/>
    <w:rsid w:val="00474FA4"/>
    <w:rsid w:val="00475D00"/>
    <w:rsid w:val="0047644A"/>
    <w:rsid w:val="0047648E"/>
    <w:rsid w:val="004764B4"/>
    <w:rsid w:val="00476509"/>
    <w:rsid w:val="00476795"/>
    <w:rsid w:val="004770AF"/>
    <w:rsid w:val="004770C0"/>
    <w:rsid w:val="00477260"/>
    <w:rsid w:val="00477357"/>
    <w:rsid w:val="004774AA"/>
    <w:rsid w:val="00477D6B"/>
    <w:rsid w:val="00480086"/>
    <w:rsid w:val="00480603"/>
    <w:rsid w:val="0048083B"/>
    <w:rsid w:val="00480AE0"/>
    <w:rsid w:val="00480F56"/>
    <w:rsid w:val="0048135F"/>
    <w:rsid w:val="0048167A"/>
    <w:rsid w:val="0048169E"/>
    <w:rsid w:val="00481BF2"/>
    <w:rsid w:val="00481E40"/>
    <w:rsid w:val="00482163"/>
    <w:rsid w:val="00482AA2"/>
    <w:rsid w:val="00482F7E"/>
    <w:rsid w:val="00483162"/>
    <w:rsid w:val="00483234"/>
    <w:rsid w:val="004834B6"/>
    <w:rsid w:val="004837E7"/>
    <w:rsid w:val="004838D7"/>
    <w:rsid w:val="00483B7E"/>
    <w:rsid w:val="00483B8C"/>
    <w:rsid w:val="00484064"/>
    <w:rsid w:val="0048425F"/>
    <w:rsid w:val="0048445E"/>
    <w:rsid w:val="00484BDC"/>
    <w:rsid w:val="00484EE5"/>
    <w:rsid w:val="00485008"/>
    <w:rsid w:val="00485649"/>
    <w:rsid w:val="00485688"/>
    <w:rsid w:val="00485C8E"/>
    <w:rsid w:val="00485CDF"/>
    <w:rsid w:val="00485F0C"/>
    <w:rsid w:val="004863B9"/>
    <w:rsid w:val="004867B2"/>
    <w:rsid w:val="00486E82"/>
    <w:rsid w:val="00487722"/>
    <w:rsid w:val="00487D04"/>
    <w:rsid w:val="00487F57"/>
    <w:rsid w:val="00487F8C"/>
    <w:rsid w:val="00490362"/>
    <w:rsid w:val="004916DE"/>
    <w:rsid w:val="004917EF"/>
    <w:rsid w:val="00491E68"/>
    <w:rsid w:val="0049224C"/>
    <w:rsid w:val="004923AF"/>
    <w:rsid w:val="004924F0"/>
    <w:rsid w:val="0049269B"/>
    <w:rsid w:val="00492959"/>
    <w:rsid w:val="004930AA"/>
    <w:rsid w:val="004933F8"/>
    <w:rsid w:val="00493943"/>
    <w:rsid w:val="00493CC5"/>
    <w:rsid w:val="00493F22"/>
    <w:rsid w:val="00494688"/>
    <w:rsid w:val="0049475F"/>
    <w:rsid w:val="004947D2"/>
    <w:rsid w:val="00494910"/>
    <w:rsid w:val="00494C97"/>
    <w:rsid w:val="00495419"/>
    <w:rsid w:val="00495CDB"/>
    <w:rsid w:val="00495D41"/>
    <w:rsid w:val="00495E38"/>
    <w:rsid w:val="00495EA4"/>
    <w:rsid w:val="00496012"/>
    <w:rsid w:val="004960F8"/>
    <w:rsid w:val="004965F7"/>
    <w:rsid w:val="004968D8"/>
    <w:rsid w:val="0049696E"/>
    <w:rsid w:val="00496B7B"/>
    <w:rsid w:val="00496EEC"/>
    <w:rsid w:val="004975F5"/>
    <w:rsid w:val="004977E3"/>
    <w:rsid w:val="00497872"/>
    <w:rsid w:val="00497986"/>
    <w:rsid w:val="004979D4"/>
    <w:rsid w:val="00497A9F"/>
    <w:rsid w:val="00497FCB"/>
    <w:rsid w:val="004A01D2"/>
    <w:rsid w:val="004A0403"/>
    <w:rsid w:val="004A062A"/>
    <w:rsid w:val="004A0BDC"/>
    <w:rsid w:val="004A0FA9"/>
    <w:rsid w:val="004A102A"/>
    <w:rsid w:val="004A144C"/>
    <w:rsid w:val="004A14FC"/>
    <w:rsid w:val="004A1A45"/>
    <w:rsid w:val="004A3557"/>
    <w:rsid w:val="004A3C31"/>
    <w:rsid w:val="004A3EB0"/>
    <w:rsid w:val="004A3FE5"/>
    <w:rsid w:val="004A3FFB"/>
    <w:rsid w:val="004A4C2B"/>
    <w:rsid w:val="004A4C32"/>
    <w:rsid w:val="004A5A35"/>
    <w:rsid w:val="004A5AEF"/>
    <w:rsid w:val="004A5DE3"/>
    <w:rsid w:val="004A6234"/>
    <w:rsid w:val="004A64DE"/>
    <w:rsid w:val="004A652D"/>
    <w:rsid w:val="004A66BD"/>
    <w:rsid w:val="004A6F53"/>
    <w:rsid w:val="004A73B9"/>
    <w:rsid w:val="004A73C4"/>
    <w:rsid w:val="004A7A99"/>
    <w:rsid w:val="004A7F98"/>
    <w:rsid w:val="004B0807"/>
    <w:rsid w:val="004B0963"/>
    <w:rsid w:val="004B0AB6"/>
    <w:rsid w:val="004B0BEA"/>
    <w:rsid w:val="004B0D92"/>
    <w:rsid w:val="004B1649"/>
    <w:rsid w:val="004B1A2E"/>
    <w:rsid w:val="004B1DE6"/>
    <w:rsid w:val="004B1EE9"/>
    <w:rsid w:val="004B2512"/>
    <w:rsid w:val="004B25BF"/>
    <w:rsid w:val="004B2688"/>
    <w:rsid w:val="004B270E"/>
    <w:rsid w:val="004B31FB"/>
    <w:rsid w:val="004B384E"/>
    <w:rsid w:val="004B3BF0"/>
    <w:rsid w:val="004B3F10"/>
    <w:rsid w:val="004B4200"/>
    <w:rsid w:val="004B42F8"/>
    <w:rsid w:val="004B4CFD"/>
    <w:rsid w:val="004B50BC"/>
    <w:rsid w:val="004B5138"/>
    <w:rsid w:val="004B58AB"/>
    <w:rsid w:val="004B58C3"/>
    <w:rsid w:val="004B5CFD"/>
    <w:rsid w:val="004B5EF8"/>
    <w:rsid w:val="004B613C"/>
    <w:rsid w:val="004B6589"/>
    <w:rsid w:val="004B6598"/>
    <w:rsid w:val="004B6781"/>
    <w:rsid w:val="004B683A"/>
    <w:rsid w:val="004B7051"/>
    <w:rsid w:val="004B72DF"/>
    <w:rsid w:val="004B788A"/>
    <w:rsid w:val="004B7A86"/>
    <w:rsid w:val="004B7CB5"/>
    <w:rsid w:val="004B7E1F"/>
    <w:rsid w:val="004C00CD"/>
    <w:rsid w:val="004C030B"/>
    <w:rsid w:val="004C043C"/>
    <w:rsid w:val="004C080A"/>
    <w:rsid w:val="004C0C08"/>
    <w:rsid w:val="004C0CA2"/>
    <w:rsid w:val="004C1176"/>
    <w:rsid w:val="004C1261"/>
    <w:rsid w:val="004C1C73"/>
    <w:rsid w:val="004C1FA6"/>
    <w:rsid w:val="004C20D7"/>
    <w:rsid w:val="004C215A"/>
    <w:rsid w:val="004C2532"/>
    <w:rsid w:val="004C2884"/>
    <w:rsid w:val="004C2D82"/>
    <w:rsid w:val="004C3966"/>
    <w:rsid w:val="004C3B1A"/>
    <w:rsid w:val="004C3D6D"/>
    <w:rsid w:val="004C401A"/>
    <w:rsid w:val="004C410A"/>
    <w:rsid w:val="004C4271"/>
    <w:rsid w:val="004C465D"/>
    <w:rsid w:val="004C470B"/>
    <w:rsid w:val="004C576E"/>
    <w:rsid w:val="004C582C"/>
    <w:rsid w:val="004C5869"/>
    <w:rsid w:val="004C5AE3"/>
    <w:rsid w:val="004C60D3"/>
    <w:rsid w:val="004C6586"/>
    <w:rsid w:val="004C66E6"/>
    <w:rsid w:val="004C6A07"/>
    <w:rsid w:val="004C7786"/>
    <w:rsid w:val="004C7B73"/>
    <w:rsid w:val="004D087A"/>
    <w:rsid w:val="004D0A50"/>
    <w:rsid w:val="004D0D8C"/>
    <w:rsid w:val="004D0EFC"/>
    <w:rsid w:val="004D116F"/>
    <w:rsid w:val="004D1371"/>
    <w:rsid w:val="004D18F0"/>
    <w:rsid w:val="004D195D"/>
    <w:rsid w:val="004D1F66"/>
    <w:rsid w:val="004D1F74"/>
    <w:rsid w:val="004D243F"/>
    <w:rsid w:val="004D36FE"/>
    <w:rsid w:val="004D39C7"/>
    <w:rsid w:val="004D3FC1"/>
    <w:rsid w:val="004D4031"/>
    <w:rsid w:val="004D4184"/>
    <w:rsid w:val="004D446E"/>
    <w:rsid w:val="004D46CF"/>
    <w:rsid w:val="004D46E4"/>
    <w:rsid w:val="004D48CB"/>
    <w:rsid w:val="004D58BC"/>
    <w:rsid w:val="004D5C15"/>
    <w:rsid w:val="004D5EC1"/>
    <w:rsid w:val="004D5F34"/>
    <w:rsid w:val="004D61A7"/>
    <w:rsid w:val="004D652D"/>
    <w:rsid w:val="004D6937"/>
    <w:rsid w:val="004D6B91"/>
    <w:rsid w:val="004D707B"/>
    <w:rsid w:val="004D78D6"/>
    <w:rsid w:val="004D7B91"/>
    <w:rsid w:val="004D7CB1"/>
    <w:rsid w:val="004E0639"/>
    <w:rsid w:val="004E0655"/>
    <w:rsid w:val="004E076B"/>
    <w:rsid w:val="004E0943"/>
    <w:rsid w:val="004E14E3"/>
    <w:rsid w:val="004E177A"/>
    <w:rsid w:val="004E1D81"/>
    <w:rsid w:val="004E1E88"/>
    <w:rsid w:val="004E1FC6"/>
    <w:rsid w:val="004E21E8"/>
    <w:rsid w:val="004E27CE"/>
    <w:rsid w:val="004E27E7"/>
    <w:rsid w:val="004E2BAA"/>
    <w:rsid w:val="004E2FA7"/>
    <w:rsid w:val="004E415F"/>
    <w:rsid w:val="004E429B"/>
    <w:rsid w:val="004E4459"/>
    <w:rsid w:val="004E5227"/>
    <w:rsid w:val="004E568F"/>
    <w:rsid w:val="004E576C"/>
    <w:rsid w:val="004E5B3A"/>
    <w:rsid w:val="004E5C65"/>
    <w:rsid w:val="004E697B"/>
    <w:rsid w:val="004E7677"/>
    <w:rsid w:val="004E77FD"/>
    <w:rsid w:val="004F006D"/>
    <w:rsid w:val="004F018E"/>
    <w:rsid w:val="004F0AC2"/>
    <w:rsid w:val="004F0DBB"/>
    <w:rsid w:val="004F0E05"/>
    <w:rsid w:val="004F1B0E"/>
    <w:rsid w:val="004F1F0B"/>
    <w:rsid w:val="004F210B"/>
    <w:rsid w:val="004F2194"/>
    <w:rsid w:val="004F23C0"/>
    <w:rsid w:val="004F3218"/>
    <w:rsid w:val="004F386F"/>
    <w:rsid w:val="004F38A1"/>
    <w:rsid w:val="004F4720"/>
    <w:rsid w:val="004F5DBB"/>
    <w:rsid w:val="004F630A"/>
    <w:rsid w:val="004F6893"/>
    <w:rsid w:val="004F69B3"/>
    <w:rsid w:val="004F72AB"/>
    <w:rsid w:val="004F7EA0"/>
    <w:rsid w:val="005000AF"/>
    <w:rsid w:val="00500377"/>
    <w:rsid w:val="0050040F"/>
    <w:rsid w:val="005004BE"/>
    <w:rsid w:val="005006B8"/>
    <w:rsid w:val="005009F8"/>
    <w:rsid w:val="00500D91"/>
    <w:rsid w:val="00501526"/>
    <w:rsid w:val="00501597"/>
    <w:rsid w:val="005019FB"/>
    <w:rsid w:val="00501C1A"/>
    <w:rsid w:val="00501DEA"/>
    <w:rsid w:val="00501FD0"/>
    <w:rsid w:val="005027A9"/>
    <w:rsid w:val="00502E59"/>
    <w:rsid w:val="005033C8"/>
    <w:rsid w:val="00503A82"/>
    <w:rsid w:val="00503F37"/>
    <w:rsid w:val="005040A2"/>
    <w:rsid w:val="005040F6"/>
    <w:rsid w:val="005040F9"/>
    <w:rsid w:val="00504153"/>
    <w:rsid w:val="00505366"/>
    <w:rsid w:val="00505753"/>
    <w:rsid w:val="00505999"/>
    <w:rsid w:val="005059F9"/>
    <w:rsid w:val="00505ABA"/>
    <w:rsid w:val="00505B79"/>
    <w:rsid w:val="00505EBA"/>
    <w:rsid w:val="005060B5"/>
    <w:rsid w:val="0050648A"/>
    <w:rsid w:val="0050673F"/>
    <w:rsid w:val="00506F7E"/>
    <w:rsid w:val="00507486"/>
    <w:rsid w:val="0050755A"/>
    <w:rsid w:val="0050784C"/>
    <w:rsid w:val="00510400"/>
    <w:rsid w:val="005104B7"/>
    <w:rsid w:val="005106D9"/>
    <w:rsid w:val="00511224"/>
    <w:rsid w:val="0051136A"/>
    <w:rsid w:val="0051146E"/>
    <w:rsid w:val="005114EF"/>
    <w:rsid w:val="00511563"/>
    <w:rsid w:val="00511711"/>
    <w:rsid w:val="00511F42"/>
    <w:rsid w:val="00511F96"/>
    <w:rsid w:val="00511FA5"/>
    <w:rsid w:val="00512325"/>
    <w:rsid w:val="005126AA"/>
    <w:rsid w:val="005127C6"/>
    <w:rsid w:val="00512E2B"/>
    <w:rsid w:val="005140EF"/>
    <w:rsid w:val="005142F6"/>
    <w:rsid w:val="0051448C"/>
    <w:rsid w:val="005149E0"/>
    <w:rsid w:val="00514B4D"/>
    <w:rsid w:val="00514CF3"/>
    <w:rsid w:val="00514D81"/>
    <w:rsid w:val="005158E6"/>
    <w:rsid w:val="00515DA3"/>
    <w:rsid w:val="005162C0"/>
    <w:rsid w:val="0051694E"/>
    <w:rsid w:val="00516B3B"/>
    <w:rsid w:val="00516C67"/>
    <w:rsid w:val="005170DC"/>
    <w:rsid w:val="00517245"/>
    <w:rsid w:val="005173DD"/>
    <w:rsid w:val="005175ED"/>
    <w:rsid w:val="005177AF"/>
    <w:rsid w:val="00520B7A"/>
    <w:rsid w:val="00521A79"/>
    <w:rsid w:val="00522639"/>
    <w:rsid w:val="00522A49"/>
    <w:rsid w:val="00522AF0"/>
    <w:rsid w:val="00522BFD"/>
    <w:rsid w:val="00522E75"/>
    <w:rsid w:val="00522F7C"/>
    <w:rsid w:val="005230AD"/>
    <w:rsid w:val="00523415"/>
    <w:rsid w:val="005237EE"/>
    <w:rsid w:val="00523C82"/>
    <w:rsid w:val="0052486B"/>
    <w:rsid w:val="00524D34"/>
    <w:rsid w:val="00524E5E"/>
    <w:rsid w:val="005252C1"/>
    <w:rsid w:val="005252EE"/>
    <w:rsid w:val="00525526"/>
    <w:rsid w:val="00525B11"/>
    <w:rsid w:val="00525DF8"/>
    <w:rsid w:val="005263BC"/>
    <w:rsid w:val="0052680D"/>
    <w:rsid w:val="00526A00"/>
    <w:rsid w:val="00526D63"/>
    <w:rsid w:val="0052728F"/>
    <w:rsid w:val="00527603"/>
    <w:rsid w:val="005279A1"/>
    <w:rsid w:val="005279AA"/>
    <w:rsid w:val="0053009F"/>
    <w:rsid w:val="0053037E"/>
    <w:rsid w:val="005303CD"/>
    <w:rsid w:val="00530509"/>
    <w:rsid w:val="00530671"/>
    <w:rsid w:val="00530767"/>
    <w:rsid w:val="00530772"/>
    <w:rsid w:val="00530967"/>
    <w:rsid w:val="00530C26"/>
    <w:rsid w:val="00530CD8"/>
    <w:rsid w:val="00530CF5"/>
    <w:rsid w:val="005314B8"/>
    <w:rsid w:val="005316C3"/>
    <w:rsid w:val="00531F0B"/>
    <w:rsid w:val="0053239B"/>
    <w:rsid w:val="0053257B"/>
    <w:rsid w:val="005326F5"/>
    <w:rsid w:val="00532745"/>
    <w:rsid w:val="00532D65"/>
    <w:rsid w:val="005333DC"/>
    <w:rsid w:val="0053388B"/>
    <w:rsid w:val="00533AAA"/>
    <w:rsid w:val="00533E92"/>
    <w:rsid w:val="00534238"/>
    <w:rsid w:val="0053429D"/>
    <w:rsid w:val="00534428"/>
    <w:rsid w:val="005344DB"/>
    <w:rsid w:val="005346EB"/>
    <w:rsid w:val="00534950"/>
    <w:rsid w:val="005349D2"/>
    <w:rsid w:val="00534A03"/>
    <w:rsid w:val="005351EA"/>
    <w:rsid w:val="00535F55"/>
    <w:rsid w:val="00536070"/>
    <w:rsid w:val="00536306"/>
    <w:rsid w:val="00536624"/>
    <w:rsid w:val="00536952"/>
    <w:rsid w:val="00536F23"/>
    <w:rsid w:val="00537041"/>
    <w:rsid w:val="005373D9"/>
    <w:rsid w:val="00537469"/>
    <w:rsid w:val="00537546"/>
    <w:rsid w:val="005379A7"/>
    <w:rsid w:val="0054003D"/>
    <w:rsid w:val="0054003E"/>
    <w:rsid w:val="0054006F"/>
    <w:rsid w:val="00540851"/>
    <w:rsid w:val="00540D4C"/>
    <w:rsid w:val="00540E84"/>
    <w:rsid w:val="00540EC2"/>
    <w:rsid w:val="00541355"/>
    <w:rsid w:val="005416DA"/>
    <w:rsid w:val="00541BE7"/>
    <w:rsid w:val="00541DE7"/>
    <w:rsid w:val="00542130"/>
    <w:rsid w:val="00542419"/>
    <w:rsid w:val="00542F18"/>
    <w:rsid w:val="005436F0"/>
    <w:rsid w:val="00544046"/>
    <w:rsid w:val="0054408B"/>
    <w:rsid w:val="005440A8"/>
    <w:rsid w:val="00544367"/>
    <w:rsid w:val="00544842"/>
    <w:rsid w:val="00544F03"/>
    <w:rsid w:val="0054547E"/>
    <w:rsid w:val="005463C8"/>
    <w:rsid w:val="00546692"/>
    <w:rsid w:val="005468F2"/>
    <w:rsid w:val="00546E22"/>
    <w:rsid w:val="00546F69"/>
    <w:rsid w:val="005470AE"/>
    <w:rsid w:val="00547119"/>
    <w:rsid w:val="005472C5"/>
    <w:rsid w:val="00547CB6"/>
    <w:rsid w:val="00547D47"/>
    <w:rsid w:val="00547E6C"/>
    <w:rsid w:val="005502EF"/>
    <w:rsid w:val="00550C10"/>
    <w:rsid w:val="00550DFE"/>
    <w:rsid w:val="00550E7D"/>
    <w:rsid w:val="00550F8B"/>
    <w:rsid w:val="005519E1"/>
    <w:rsid w:val="00551B0B"/>
    <w:rsid w:val="005529C0"/>
    <w:rsid w:val="00552E30"/>
    <w:rsid w:val="00552ED3"/>
    <w:rsid w:val="005538C5"/>
    <w:rsid w:val="005538D3"/>
    <w:rsid w:val="005539D3"/>
    <w:rsid w:val="00553F4C"/>
    <w:rsid w:val="00554A9D"/>
    <w:rsid w:val="00554AAE"/>
    <w:rsid w:val="00554C47"/>
    <w:rsid w:val="0055597A"/>
    <w:rsid w:val="00555D0C"/>
    <w:rsid w:val="00555E7A"/>
    <w:rsid w:val="00556961"/>
    <w:rsid w:val="00556A78"/>
    <w:rsid w:val="005573FA"/>
    <w:rsid w:val="00557A64"/>
    <w:rsid w:val="00557AB3"/>
    <w:rsid w:val="005601B5"/>
    <w:rsid w:val="005603A1"/>
    <w:rsid w:val="005609A6"/>
    <w:rsid w:val="00560A35"/>
    <w:rsid w:val="00560C0E"/>
    <w:rsid w:val="00560C50"/>
    <w:rsid w:val="005612A9"/>
    <w:rsid w:val="0056152A"/>
    <w:rsid w:val="005615C5"/>
    <w:rsid w:val="0056180F"/>
    <w:rsid w:val="0056184A"/>
    <w:rsid w:val="00561AFC"/>
    <w:rsid w:val="00562862"/>
    <w:rsid w:val="00562C9A"/>
    <w:rsid w:val="00563235"/>
    <w:rsid w:val="005636E7"/>
    <w:rsid w:val="0056422D"/>
    <w:rsid w:val="0056449D"/>
    <w:rsid w:val="005646A1"/>
    <w:rsid w:val="00564942"/>
    <w:rsid w:val="00564C03"/>
    <w:rsid w:val="00564D33"/>
    <w:rsid w:val="00565049"/>
    <w:rsid w:val="0056564C"/>
    <w:rsid w:val="00565769"/>
    <w:rsid w:val="0056581F"/>
    <w:rsid w:val="00565884"/>
    <w:rsid w:val="00565B44"/>
    <w:rsid w:val="00565E18"/>
    <w:rsid w:val="0056614F"/>
    <w:rsid w:val="005662F3"/>
    <w:rsid w:val="005667DC"/>
    <w:rsid w:val="00566C08"/>
    <w:rsid w:val="00566FB6"/>
    <w:rsid w:val="005670C8"/>
    <w:rsid w:val="005677A3"/>
    <w:rsid w:val="00567B9A"/>
    <w:rsid w:val="00567BD0"/>
    <w:rsid w:val="00567F31"/>
    <w:rsid w:val="00567FEF"/>
    <w:rsid w:val="00570755"/>
    <w:rsid w:val="005708F7"/>
    <w:rsid w:val="00570951"/>
    <w:rsid w:val="00570C96"/>
    <w:rsid w:val="00570CD8"/>
    <w:rsid w:val="00570EB2"/>
    <w:rsid w:val="005714D9"/>
    <w:rsid w:val="00571652"/>
    <w:rsid w:val="00571A34"/>
    <w:rsid w:val="00571B71"/>
    <w:rsid w:val="00571E36"/>
    <w:rsid w:val="005723A1"/>
    <w:rsid w:val="00572ACC"/>
    <w:rsid w:val="00572DDA"/>
    <w:rsid w:val="00572EBB"/>
    <w:rsid w:val="00572FEC"/>
    <w:rsid w:val="005732A1"/>
    <w:rsid w:val="00573910"/>
    <w:rsid w:val="00573C72"/>
    <w:rsid w:val="005742EF"/>
    <w:rsid w:val="00574A6A"/>
    <w:rsid w:val="00574B87"/>
    <w:rsid w:val="00574C29"/>
    <w:rsid w:val="005750AC"/>
    <w:rsid w:val="00575191"/>
    <w:rsid w:val="005761F7"/>
    <w:rsid w:val="0057676F"/>
    <w:rsid w:val="0057686F"/>
    <w:rsid w:val="00576AB6"/>
    <w:rsid w:val="00576B83"/>
    <w:rsid w:val="00577194"/>
    <w:rsid w:val="00577318"/>
    <w:rsid w:val="005773B4"/>
    <w:rsid w:val="00577A5A"/>
    <w:rsid w:val="00577C50"/>
    <w:rsid w:val="005800A2"/>
    <w:rsid w:val="005803C6"/>
    <w:rsid w:val="00580417"/>
    <w:rsid w:val="005807BE"/>
    <w:rsid w:val="00580A15"/>
    <w:rsid w:val="0058130F"/>
    <w:rsid w:val="005819AB"/>
    <w:rsid w:val="00581D62"/>
    <w:rsid w:val="00581F69"/>
    <w:rsid w:val="0058221D"/>
    <w:rsid w:val="005823A3"/>
    <w:rsid w:val="005826D2"/>
    <w:rsid w:val="005828B3"/>
    <w:rsid w:val="00582AB4"/>
    <w:rsid w:val="0058317E"/>
    <w:rsid w:val="00583426"/>
    <w:rsid w:val="00583602"/>
    <w:rsid w:val="005836F4"/>
    <w:rsid w:val="00583C38"/>
    <w:rsid w:val="0058414A"/>
    <w:rsid w:val="00584231"/>
    <w:rsid w:val="005845BD"/>
    <w:rsid w:val="00584A47"/>
    <w:rsid w:val="00584AD8"/>
    <w:rsid w:val="00585543"/>
    <w:rsid w:val="00585848"/>
    <w:rsid w:val="00585D46"/>
    <w:rsid w:val="00586576"/>
    <w:rsid w:val="00586E42"/>
    <w:rsid w:val="0058786A"/>
    <w:rsid w:val="005878E0"/>
    <w:rsid w:val="00587991"/>
    <w:rsid w:val="00587D39"/>
    <w:rsid w:val="00590045"/>
    <w:rsid w:val="005903DA"/>
    <w:rsid w:val="00590519"/>
    <w:rsid w:val="005905B1"/>
    <w:rsid w:val="00590A99"/>
    <w:rsid w:val="00591780"/>
    <w:rsid w:val="005918BF"/>
    <w:rsid w:val="00591CC2"/>
    <w:rsid w:val="0059280C"/>
    <w:rsid w:val="0059285C"/>
    <w:rsid w:val="00592E82"/>
    <w:rsid w:val="00592F3D"/>
    <w:rsid w:val="00592F7D"/>
    <w:rsid w:val="0059319F"/>
    <w:rsid w:val="005931EC"/>
    <w:rsid w:val="005932F6"/>
    <w:rsid w:val="00593734"/>
    <w:rsid w:val="00593CE0"/>
    <w:rsid w:val="00593D1D"/>
    <w:rsid w:val="00594252"/>
    <w:rsid w:val="00594297"/>
    <w:rsid w:val="005944D7"/>
    <w:rsid w:val="0059527A"/>
    <w:rsid w:val="00595402"/>
    <w:rsid w:val="00595610"/>
    <w:rsid w:val="0059576F"/>
    <w:rsid w:val="005958B1"/>
    <w:rsid w:val="00595CC0"/>
    <w:rsid w:val="00595DF3"/>
    <w:rsid w:val="0059606D"/>
    <w:rsid w:val="0059611E"/>
    <w:rsid w:val="00596242"/>
    <w:rsid w:val="005962E1"/>
    <w:rsid w:val="00596627"/>
    <w:rsid w:val="00596ACB"/>
    <w:rsid w:val="00596F3C"/>
    <w:rsid w:val="005974D4"/>
    <w:rsid w:val="00597EC8"/>
    <w:rsid w:val="005A03C9"/>
    <w:rsid w:val="005A06B4"/>
    <w:rsid w:val="005A08BF"/>
    <w:rsid w:val="005A0909"/>
    <w:rsid w:val="005A0C1B"/>
    <w:rsid w:val="005A0C67"/>
    <w:rsid w:val="005A132F"/>
    <w:rsid w:val="005A202B"/>
    <w:rsid w:val="005A28BC"/>
    <w:rsid w:val="005A2E1E"/>
    <w:rsid w:val="005A394F"/>
    <w:rsid w:val="005A39DC"/>
    <w:rsid w:val="005A3AA5"/>
    <w:rsid w:val="005A3E4C"/>
    <w:rsid w:val="005A5448"/>
    <w:rsid w:val="005A567A"/>
    <w:rsid w:val="005A5A63"/>
    <w:rsid w:val="005A5F0F"/>
    <w:rsid w:val="005A7001"/>
    <w:rsid w:val="005A7545"/>
    <w:rsid w:val="005A7985"/>
    <w:rsid w:val="005B0673"/>
    <w:rsid w:val="005B09D7"/>
    <w:rsid w:val="005B0E86"/>
    <w:rsid w:val="005B1389"/>
    <w:rsid w:val="005B1723"/>
    <w:rsid w:val="005B1745"/>
    <w:rsid w:val="005B216E"/>
    <w:rsid w:val="005B2779"/>
    <w:rsid w:val="005B279B"/>
    <w:rsid w:val="005B2920"/>
    <w:rsid w:val="005B2D86"/>
    <w:rsid w:val="005B3408"/>
    <w:rsid w:val="005B35A1"/>
    <w:rsid w:val="005B3A84"/>
    <w:rsid w:val="005B3D2D"/>
    <w:rsid w:val="005B3F3C"/>
    <w:rsid w:val="005B4187"/>
    <w:rsid w:val="005B4246"/>
    <w:rsid w:val="005B42F5"/>
    <w:rsid w:val="005B4547"/>
    <w:rsid w:val="005B4A36"/>
    <w:rsid w:val="005B4B1A"/>
    <w:rsid w:val="005B51A4"/>
    <w:rsid w:val="005B53FD"/>
    <w:rsid w:val="005B5F9C"/>
    <w:rsid w:val="005B5FE6"/>
    <w:rsid w:val="005B6EA7"/>
    <w:rsid w:val="005B72B3"/>
    <w:rsid w:val="005B7675"/>
    <w:rsid w:val="005B7ABF"/>
    <w:rsid w:val="005C06B9"/>
    <w:rsid w:val="005C08DA"/>
    <w:rsid w:val="005C139B"/>
    <w:rsid w:val="005C1550"/>
    <w:rsid w:val="005C1606"/>
    <w:rsid w:val="005C1923"/>
    <w:rsid w:val="005C194D"/>
    <w:rsid w:val="005C2260"/>
    <w:rsid w:val="005C23D9"/>
    <w:rsid w:val="005C2688"/>
    <w:rsid w:val="005C2E16"/>
    <w:rsid w:val="005C2F9E"/>
    <w:rsid w:val="005C32A4"/>
    <w:rsid w:val="005C33F5"/>
    <w:rsid w:val="005C35B1"/>
    <w:rsid w:val="005C37D6"/>
    <w:rsid w:val="005C40A3"/>
    <w:rsid w:val="005C41A7"/>
    <w:rsid w:val="005C49A3"/>
    <w:rsid w:val="005C50B9"/>
    <w:rsid w:val="005C5218"/>
    <w:rsid w:val="005C546F"/>
    <w:rsid w:val="005C555B"/>
    <w:rsid w:val="005C58BF"/>
    <w:rsid w:val="005C59EC"/>
    <w:rsid w:val="005C60D0"/>
    <w:rsid w:val="005C61CA"/>
    <w:rsid w:val="005C6273"/>
    <w:rsid w:val="005C687C"/>
    <w:rsid w:val="005C6AA8"/>
    <w:rsid w:val="005C6FBC"/>
    <w:rsid w:val="005C7673"/>
    <w:rsid w:val="005C7C9C"/>
    <w:rsid w:val="005C7F2B"/>
    <w:rsid w:val="005CC8D9"/>
    <w:rsid w:val="005D01E2"/>
    <w:rsid w:val="005D0FFF"/>
    <w:rsid w:val="005D13E4"/>
    <w:rsid w:val="005D1592"/>
    <w:rsid w:val="005D1B0E"/>
    <w:rsid w:val="005D1BF6"/>
    <w:rsid w:val="005D1CA4"/>
    <w:rsid w:val="005D2071"/>
    <w:rsid w:val="005D22E4"/>
    <w:rsid w:val="005D268B"/>
    <w:rsid w:val="005D26B6"/>
    <w:rsid w:val="005D273B"/>
    <w:rsid w:val="005D3151"/>
    <w:rsid w:val="005D347B"/>
    <w:rsid w:val="005D3809"/>
    <w:rsid w:val="005D3B49"/>
    <w:rsid w:val="005D3F12"/>
    <w:rsid w:val="005D407F"/>
    <w:rsid w:val="005D4A97"/>
    <w:rsid w:val="005D4C71"/>
    <w:rsid w:val="005D52C9"/>
    <w:rsid w:val="005D575B"/>
    <w:rsid w:val="005D5948"/>
    <w:rsid w:val="005D5FCF"/>
    <w:rsid w:val="005D64D7"/>
    <w:rsid w:val="005D67AE"/>
    <w:rsid w:val="005D6BF0"/>
    <w:rsid w:val="005D6DF0"/>
    <w:rsid w:val="005D7718"/>
    <w:rsid w:val="005D7C8A"/>
    <w:rsid w:val="005D7D82"/>
    <w:rsid w:val="005E00EC"/>
    <w:rsid w:val="005E02AF"/>
    <w:rsid w:val="005E078E"/>
    <w:rsid w:val="005E162B"/>
    <w:rsid w:val="005E1E4C"/>
    <w:rsid w:val="005E1EC2"/>
    <w:rsid w:val="005E210A"/>
    <w:rsid w:val="005E250B"/>
    <w:rsid w:val="005E2A3F"/>
    <w:rsid w:val="005E2FE8"/>
    <w:rsid w:val="005E3141"/>
    <w:rsid w:val="005E3183"/>
    <w:rsid w:val="005E3A1A"/>
    <w:rsid w:val="005E3F7D"/>
    <w:rsid w:val="005E4610"/>
    <w:rsid w:val="005E4697"/>
    <w:rsid w:val="005E46C7"/>
    <w:rsid w:val="005E4792"/>
    <w:rsid w:val="005E49F3"/>
    <w:rsid w:val="005E4D3B"/>
    <w:rsid w:val="005E4E38"/>
    <w:rsid w:val="005E5187"/>
    <w:rsid w:val="005E52F1"/>
    <w:rsid w:val="005E54C4"/>
    <w:rsid w:val="005E5867"/>
    <w:rsid w:val="005E5A10"/>
    <w:rsid w:val="005E5BA6"/>
    <w:rsid w:val="005E5D12"/>
    <w:rsid w:val="005E5DE0"/>
    <w:rsid w:val="005E6385"/>
    <w:rsid w:val="005E6436"/>
    <w:rsid w:val="005E64EA"/>
    <w:rsid w:val="005E670F"/>
    <w:rsid w:val="005E6917"/>
    <w:rsid w:val="005E6A3A"/>
    <w:rsid w:val="005E73B5"/>
    <w:rsid w:val="005F00A6"/>
    <w:rsid w:val="005F0529"/>
    <w:rsid w:val="005F07F2"/>
    <w:rsid w:val="005F08D3"/>
    <w:rsid w:val="005F0B59"/>
    <w:rsid w:val="005F0FDE"/>
    <w:rsid w:val="005F113D"/>
    <w:rsid w:val="005F1D4B"/>
    <w:rsid w:val="005F1FA4"/>
    <w:rsid w:val="005F215A"/>
    <w:rsid w:val="005F2184"/>
    <w:rsid w:val="005F2796"/>
    <w:rsid w:val="005F2C1C"/>
    <w:rsid w:val="005F3277"/>
    <w:rsid w:val="005F34FE"/>
    <w:rsid w:val="005F3D35"/>
    <w:rsid w:val="005F4166"/>
    <w:rsid w:val="005F43DB"/>
    <w:rsid w:val="005F4628"/>
    <w:rsid w:val="005F4FEA"/>
    <w:rsid w:val="005F509B"/>
    <w:rsid w:val="005F5522"/>
    <w:rsid w:val="005F56B1"/>
    <w:rsid w:val="005F57B2"/>
    <w:rsid w:val="005F57ED"/>
    <w:rsid w:val="005F5801"/>
    <w:rsid w:val="005F59D5"/>
    <w:rsid w:val="005F5C1E"/>
    <w:rsid w:val="005F60FA"/>
    <w:rsid w:val="005F645B"/>
    <w:rsid w:val="005F65EA"/>
    <w:rsid w:val="005F6668"/>
    <w:rsid w:val="005F695B"/>
    <w:rsid w:val="005F6C09"/>
    <w:rsid w:val="005F6FE7"/>
    <w:rsid w:val="005F70A1"/>
    <w:rsid w:val="005F76D4"/>
    <w:rsid w:val="005F78FE"/>
    <w:rsid w:val="005F79C7"/>
    <w:rsid w:val="005F7A99"/>
    <w:rsid w:val="005F7C3F"/>
    <w:rsid w:val="00600255"/>
    <w:rsid w:val="00600F4A"/>
    <w:rsid w:val="00600FE4"/>
    <w:rsid w:val="00601EB4"/>
    <w:rsid w:val="00602070"/>
    <w:rsid w:val="0060256A"/>
    <w:rsid w:val="0060261C"/>
    <w:rsid w:val="00602C8F"/>
    <w:rsid w:val="00602DC0"/>
    <w:rsid w:val="00602F69"/>
    <w:rsid w:val="0060321E"/>
    <w:rsid w:val="006032D8"/>
    <w:rsid w:val="006034FF"/>
    <w:rsid w:val="006038F3"/>
    <w:rsid w:val="00603930"/>
    <w:rsid w:val="00603EF2"/>
    <w:rsid w:val="00604C1F"/>
    <w:rsid w:val="00604D96"/>
    <w:rsid w:val="00604DD4"/>
    <w:rsid w:val="0060516C"/>
    <w:rsid w:val="0060573A"/>
    <w:rsid w:val="00605A9C"/>
    <w:rsid w:val="0060606A"/>
    <w:rsid w:val="00606349"/>
    <w:rsid w:val="00606403"/>
    <w:rsid w:val="006070CE"/>
    <w:rsid w:val="006070FE"/>
    <w:rsid w:val="00607693"/>
    <w:rsid w:val="00607D25"/>
    <w:rsid w:val="0061025E"/>
    <w:rsid w:val="00610755"/>
    <w:rsid w:val="00610BFB"/>
    <w:rsid w:val="00610D22"/>
    <w:rsid w:val="00610E93"/>
    <w:rsid w:val="006110B8"/>
    <w:rsid w:val="00611823"/>
    <w:rsid w:val="006118DF"/>
    <w:rsid w:val="00611A17"/>
    <w:rsid w:val="00611D1D"/>
    <w:rsid w:val="00612076"/>
    <w:rsid w:val="00612267"/>
    <w:rsid w:val="00612C03"/>
    <w:rsid w:val="00613085"/>
    <w:rsid w:val="0061359C"/>
    <w:rsid w:val="006138C3"/>
    <w:rsid w:val="00613A86"/>
    <w:rsid w:val="00613C3B"/>
    <w:rsid w:val="006143E4"/>
    <w:rsid w:val="00615679"/>
    <w:rsid w:val="0061570C"/>
    <w:rsid w:val="00615826"/>
    <w:rsid w:val="00615C45"/>
    <w:rsid w:val="0061607F"/>
    <w:rsid w:val="0061619E"/>
    <w:rsid w:val="00616347"/>
    <w:rsid w:val="00616DB4"/>
    <w:rsid w:val="00617B4B"/>
    <w:rsid w:val="00617FBD"/>
    <w:rsid w:val="00620561"/>
    <w:rsid w:val="00620581"/>
    <w:rsid w:val="00620DD5"/>
    <w:rsid w:val="00621175"/>
    <w:rsid w:val="006211A6"/>
    <w:rsid w:val="006217F7"/>
    <w:rsid w:val="00621E88"/>
    <w:rsid w:val="006222D3"/>
    <w:rsid w:val="006222E5"/>
    <w:rsid w:val="00622CD1"/>
    <w:rsid w:val="00622DE6"/>
    <w:rsid w:val="00623143"/>
    <w:rsid w:val="0062341A"/>
    <w:rsid w:val="00623920"/>
    <w:rsid w:val="00623CCA"/>
    <w:rsid w:val="00623F10"/>
    <w:rsid w:val="00623FAA"/>
    <w:rsid w:val="006240D5"/>
    <w:rsid w:val="00624154"/>
    <w:rsid w:val="006245F4"/>
    <w:rsid w:val="006248DA"/>
    <w:rsid w:val="006250F3"/>
    <w:rsid w:val="0062542E"/>
    <w:rsid w:val="0062575B"/>
    <w:rsid w:val="006258C0"/>
    <w:rsid w:val="006259E9"/>
    <w:rsid w:val="00625EF4"/>
    <w:rsid w:val="00626323"/>
    <w:rsid w:val="00626D31"/>
    <w:rsid w:val="00626FFC"/>
    <w:rsid w:val="0062769E"/>
    <w:rsid w:val="00627748"/>
    <w:rsid w:val="006278E8"/>
    <w:rsid w:val="0063074E"/>
    <w:rsid w:val="00630A78"/>
    <w:rsid w:val="006312E8"/>
    <w:rsid w:val="00631446"/>
    <w:rsid w:val="006318EC"/>
    <w:rsid w:val="00631C83"/>
    <w:rsid w:val="00631D68"/>
    <w:rsid w:val="00631D83"/>
    <w:rsid w:val="00631DAE"/>
    <w:rsid w:val="00631DD5"/>
    <w:rsid w:val="00632695"/>
    <w:rsid w:val="00632A31"/>
    <w:rsid w:val="00632B3C"/>
    <w:rsid w:val="00632BC1"/>
    <w:rsid w:val="0063307C"/>
    <w:rsid w:val="00633718"/>
    <w:rsid w:val="0063385E"/>
    <w:rsid w:val="00633912"/>
    <w:rsid w:val="00633E01"/>
    <w:rsid w:val="00633FD7"/>
    <w:rsid w:val="00634535"/>
    <w:rsid w:val="0063468D"/>
    <w:rsid w:val="00634A10"/>
    <w:rsid w:val="00634EA7"/>
    <w:rsid w:val="00635041"/>
    <w:rsid w:val="00635084"/>
    <w:rsid w:val="00635134"/>
    <w:rsid w:val="006359F9"/>
    <w:rsid w:val="00636089"/>
    <w:rsid w:val="006360B1"/>
    <w:rsid w:val="00636343"/>
    <w:rsid w:val="006377D3"/>
    <w:rsid w:val="006404B2"/>
    <w:rsid w:val="006407E6"/>
    <w:rsid w:val="00640820"/>
    <w:rsid w:val="006409D5"/>
    <w:rsid w:val="00640AB2"/>
    <w:rsid w:val="006411F8"/>
    <w:rsid w:val="00641DB8"/>
    <w:rsid w:val="00641F91"/>
    <w:rsid w:val="00642710"/>
    <w:rsid w:val="00642BEC"/>
    <w:rsid w:val="006430E1"/>
    <w:rsid w:val="006431DE"/>
    <w:rsid w:val="006439B4"/>
    <w:rsid w:val="00643D07"/>
    <w:rsid w:val="006440BD"/>
    <w:rsid w:val="006444F3"/>
    <w:rsid w:val="00644B0A"/>
    <w:rsid w:val="00644E68"/>
    <w:rsid w:val="00645133"/>
    <w:rsid w:val="0064523A"/>
    <w:rsid w:val="00645472"/>
    <w:rsid w:val="0064570C"/>
    <w:rsid w:val="006457B4"/>
    <w:rsid w:val="006459F3"/>
    <w:rsid w:val="00645A60"/>
    <w:rsid w:val="00645C6F"/>
    <w:rsid w:val="006460B2"/>
    <w:rsid w:val="006461F9"/>
    <w:rsid w:val="00646941"/>
    <w:rsid w:val="00646AF5"/>
    <w:rsid w:val="00646D2A"/>
    <w:rsid w:val="006475EB"/>
    <w:rsid w:val="00647A75"/>
    <w:rsid w:val="00647E9F"/>
    <w:rsid w:val="00647F97"/>
    <w:rsid w:val="00650028"/>
    <w:rsid w:val="00650640"/>
    <w:rsid w:val="00650A7D"/>
    <w:rsid w:val="00650F39"/>
    <w:rsid w:val="006513DC"/>
    <w:rsid w:val="00651500"/>
    <w:rsid w:val="00651EA1"/>
    <w:rsid w:val="00651FDA"/>
    <w:rsid w:val="006524E5"/>
    <w:rsid w:val="006529EA"/>
    <w:rsid w:val="00652A89"/>
    <w:rsid w:val="00653123"/>
    <w:rsid w:val="006537E1"/>
    <w:rsid w:val="006538C7"/>
    <w:rsid w:val="00653AF0"/>
    <w:rsid w:val="00653E63"/>
    <w:rsid w:val="00653EE3"/>
    <w:rsid w:val="006540C7"/>
    <w:rsid w:val="0065410F"/>
    <w:rsid w:val="0065491F"/>
    <w:rsid w:val="00654A2F"/>
    <w:rsid w:val="0065505B"/>
    <w:rsid w:val="00655078"/>
    <w:rsid w:val="0065554C"/>
    <w:rsid w:val="00655A87"/>
    <w:rsid w:val="00655F1C"/>
    <w:rsid w:val="006560D8"/>
    <w:rsid w:val="006566A3"/>
    <w:rsid w:val="00656F27"/>
    <w:rsid w:val="006571E6"/>
    <w:rsid w:val="00657476"/>
    <w:rsid w:val="0065759A"/>
    <w:rsid w:val="006576B5"/>
    <w:rsid w:val="0065779F"/>
    <w:rsid w:val="00657BFE"/>
    <w:rsid w:val="00657C8E"/>
    <w:rsid w:val="006603BC"/>
    <w:rsid w:val="006604E1"/>
    <w:rsid w:val="00661057"/>
    <w:rsid w:val="00661B9F"/>
    <w:rsid w:val="00661C17"/>
    <w:rsid w:val="00661C62"/>
    <w:rsid w:val="00662150"/>
    <w:rsid w:val="0066238C"/>
    <w:rsid w:val="006629A0"/>
    <w:rsid w:val="00662BED"/>
    <w:rsid w:val="00662C41"/>
    <w:rsid w:val="00663B7B"/>
    <w:rsid w:val="00663BE6"/>
    <w:rsid w:val="00663D85"/>
    <w:rsid w:val="00664542"/>
    <w:rsid w:val="00664571"/>
    <w:rsid w:val="006645FE"/>
    <w:rsid w:val="0066460E"/>
    <w:rsid w:val="00664779"/>
    <w:rsid w:val="00664841"/>
    <w:rsid w:val="0066484C"/>
    <w:rsid w:val="00664B3A"/>
    <w:rsid w:val="00664D0E"/>
    <w:rsid w:val="00665709"/>
    <w:rsid w:val="006668A3"/>
    <w:rsid w:val="00667308"/>
    <w:rsid w:val="00670860"/>
    <w:rsid w:val="00670E10"/>
    <w:rsid w:val="00670FC8"/>
    <w:rsid w:val="006710A2"/>
    <w:rsid w:val="0067158D"/>
    <w:rsid w:val="00671657"/>
    <w:rsid w:val="00671AA0"/>
    <w:rsid w:val="00671F6F"/>
    <w:rsid w:val="006723AF"/>
    <w:rsid w:val="00672657"/>
    <w:rsid w:val="00672B0C"/>
    <w:rsid w:val="00672D9F"/>
    <w:rsid w:val="0067307C"/>
    <w:rsid w:val="006730A7"/>
    <w:rsid w:val="0067363D"/>
    <w:rsid w:val="0067367E"/>
    <w:rsid w:val="00673A14"/>
    <w:rsid w:val="00673BC5"/>
    <w:rsid w:val="00673E98"/>
    <w:rsid w:val="00674346"/>
    <w:rsid w:val="00674AD6"/>
    <w:rsid w:val="0067513F"/>
    <w:rsid w:val="006752CF"/>
    <w:rsid w:val="006754A5"/>
    <w:rsid w:val="00675887"/>
    <w:rsid w:val="006759D4"/>
    <w:rsid w:val="00676236"/>
    <w:rsid w:val="00676391"/>
    <w:rsid w:val="006766AF"/>
    <w:rsid w:val="00676A54"/>
    <w:rsid w:val="00676AA0"/>
    <w:rsid w:val="00676FA7"/>
    <w:rsid w:val="00677F49"/>
    <w:rsid w:val="006805F7"/>
    <w:rsid w:val="00681688"/>
    <w:rsid w:val="00681C51"/>
    <w:rsid w:val="00681E77"/>
    <w:rsid w:val="006821B7"/>
    <w:rsid w:val="0068225A"/>
    <w:rsid w:val="006822B5"/>
    <w:rsid w:val="00682645"/>
    <w:rsid w:val="00682A21"/>
    <w:rsid w:val="00682DF9"/>
    <w:rsid w:val="00683633"/>
    <w:rsid w:val="0068388D"/>
    <w:rsid w:val="00683EC1"/>
    <w:rsid w:val="00684456"/>
    <w:rsid w:val="0068450A"/>
    <w:rsid w:val="00685560"/>
    <w:rsid w:val="006856CD"/>
    <w:rsid w:val="00685F54"/>
    <w:rsid w:val="00686213"/>
    <w:rsid w:val="006862B9"/>
    <w:rsid w:val="00686C17"/>
    <w:rsid w:val="006871EC"/>
    <w:rsid w:val="006874A1"/>
    <w:rsid w:val="006874A6"/>
    <w:rsid w:val="00687892"/>
    <w:rsid w:val="00690211"/>
    <w:rsid w:val="00690542"/>
    <w:rsid w:val="006908D5"/>
    <w:rsid w:val="0069140E"/>
    <w:rsid w:val="006914F2"/>
    <w:rsid w:val="00691BE9"/>
    <w:rsid w:val="00691E72"/>
    <w:rsid w:val="00691F54"/>
    <w:rsid w:val="00691FC8"/>
    <w:rsid w:val="00692210"/>
    <w:rsid w:val="006923C5"/>
    <w:rsid w:val="00693105"/>
    <w:rsid w:val="0069311A"/>
    <w:rsid w:val="0069311F"/>
    <w:rsid w:val="006933EC"/>
    <w:rsid w:val="00693480"/>
    <w:rsid w:val="0069437F"/>
    <w:rsid w:val="0069438E"/>
    <w:rsid w:val="006943E9"/>
    <w:rsid w:val="00694532"/>
    <w:rsid w:val="0069467A"/>
    <w:rsid w:val="00694892"/>
    <w:rsid w:val="00694AAA"/>
    <w:rsid w:val="00694DE0"/>
    <w:rsid w:val="00694F79"/>
    <w:rsid w:val="0069502A"/>
    <w:rsid w:val="0069526E"/>
    <w:rsid w:val="00695554"/>
    <w:rsid w:val="006961B1"/>
    <w:rsid w:val="006962C9"/>
    <w:rsid w:val="00696545"/>
    <w:rsid w:val="006967B6"/>
    <w:rsid w:val="0069696F"/>
    <w:rsid w:val="00696E3C"/>
    <w:rsid w:val="00696EE1"/>
    <w:rsid w:val="00696FB0"/>
    <w:rsid w:val="00697421"/>
    <w:rsid w:val="006A0225"/>
    <w:rsid w:val="006A0435"/>
    <w:rsid w:val="006A05D0"/>
    <w:rsid w:val="006A0C59"/>
    <w:rsid w:val="006A0D83"/>
    <w:rsid w:val="006A192F"/>
    <w:rsid w:val="006A1946"/>
    <w:rsid w:val="006A2F1E"/>
    <w:rsid w:val="006A3044"/>
    <w:rsid w:val="006A3260"/>
    <w:rsid w:val="006A36A8"/>
    <w:rsid w:val="006A39AD"/>
    <w:rsid w:val="006A3A2B"/>
    <w:rsid w:val="006A3C81"/>
    <w:rsid w:val="006A4066"/>
    <w:rsid w:val="006A4DF5"/>
    <w:rsid w:val="006A563E"/>
    <w:rsid w:val="006A5871"/>
    <w:rsid w:val="006A5F08"/>
    <w:rsid w:val="006A60D2"/>
    <w:rsid w:val="006A68D8"/>
    <w:rsid w:val="006A6EE2"/>
    <w:rsid w:val="006A6F5A"/>
    <w:rsid w:val="006A7334"/>
    <w:rsid w:val="006A73B5"/>
    <w:rsid w:val="006A75B6"/>
    <w:rsid w:val="006A7CB3"/>
    <w:rsid w:val="006A7E5C"/>
    <w:rsid w:val="006B03BB"/>
    <w:rsid w:val="006B0506"/>
    <w:rsid w:val="006B0B18"/>
    <w:rsid w:val="006B0F48"/>
    <w:rsid w:val="006B133D"/>
    <w:rsid w:val="006B1B4B"/>
    <w:rsid w:val="006B1EBE"/>
    <w:rsid w:val="006B2A05"/>
    <w:rsid w:val="006B30C0"/>
    <w:rsid w:val="006B3118"/>
    <w:rsid w:val="006B355A"/>
    <w:rsid w:val="006B3D42"/>
    <w:rsid w:val="006B408C"/>
    <w:rsid w:val="006B4275"/>
    <w:rsid w:val="006B4301"/>
    <w:rsid w:val="006B434C"/>
    <w:rsid w:val="006B4667"/>
    <w:rsid w:val="006B4779"/>
    <w:rsid w:val="006B4D80"/>
    <w:rsid w:val="006B4E80"/>
    <w:rsid w:val="006B4FF6"/>
    <w:rsid w:val="006B52B6"/>
    <w:rsid w:val="006B6298"/>
    <w:rsid w:val="006B630F"/>
    <w:rsid w:val="006B644E"/>
    <w:rsid w:val="006B6C91"/>
    <w:rsid w:val="006B6EBE"/>
    <w:rsid w:val="006C05AD"/>
    <w:rsid w:val="006C0916"/>
    <w:rsid w:val="006C0FAC"/>
    <w:rsid w:val="006C154C"/>
    <w:rsid w:val="006C17A5"/>
    <w:rsid w:val="006C1A28"/>
    <w:rsid w:val="006C1FF8"/>
    <w:rsid w:val="006C1FFF"/>
    <w:rsid w:val="006C2199"/>
    <w:rsid w:val="006C2228"/>
    <w:rsid w:val="006C2454"/>
    <w:rsid w:val="006C24E0"/>
    <w:rsid w:val="006C26AC"/>
    <w:rsid w:val="006C279C"/>
    <w:rsid w:val="006C2A26"/>
    <w:rsid w:val="006C2F79"/>
    <w:rsid w:val="006C3073"/>
    <w:rsid w:val="006C3279"/>
    <w:rsid w:val="006C3493"/>
    <w:rsid w:val="006C393C"/>
    <w:rsid w:val="006C3C98"/>
    <w:rsid w:val="006C42A8"/>
    <w:rsid w:val="006C4C7A"/>
    <w:rsid w:val="006C59AE"/>
    <w:rsid w:val="006C5ECA"/>
    <w:rsid w:val="006C609B"/>
    <w:rsid w:val="006C61A7"/>
    <w:rsid w:val="006C6268"/>
    <w:rsid w:val="006C662C"/>
    <w:rsid w:val="006C6CD2"/>
    <w:rsid w:val="006C6D65"/>
    <w:rsid w:val="006C6E9F"/>
    <w:rsid w:val="006C7054"/>
    <w:rsid w:val="006C712B"/>
    <w:rsid w:val="006C7190"/>
    <w:rsid w:val="006C7830"/>
    <w:rsid w:val="006D146D"/>
    <w:rsid w:val="006D1635"/>
    <w:rsid w:val="006D1739"/>
    <w:rsid w:val="006D17F0"/>
    <w:rsid w:val="006D2571"/>
    <w:rsid w:val="006D2A7E"/>
    <w:rsid w:val="006D2E9E"/>
    <w:rsid w:val="006D3069"/>
    <w:rsid w:val="006D30BB"/>
    <w:rsid w:val="006D3874"/>
    <w:rsid w:val="006D3AA4"/>
    <w:rsid w:val="006D3B8D"/>
    <w:rsid w:val="006D3DBE"/>
    <w:rsid w:val="006D4105"/>
    <w:rsid w:val="006D490A"/>
    <w:rsid w:val="006D5630"/>
    <w:rsid w:val="006D59CE"/>
    <w:rsid w:val="006D6186"/>
    <w:rsid w:val="006D6420"/>
    <w:rsid w:val="006D645F"/>
    <w:rsid w:val="006D690F"/>
    <w:rsid w:val="006D72D7"/>
    <w:rsid w:val="006D782B"/>
    <w:rsid w:val="006D7BFF"/>
    <w:rsid w:val="006E01E7"/>
    <w:rsid w:val="006E0231"/>
    <w:rsid w:val="006E0236"/>
    <w:rsid w:val="006E0A87"/>
    <w:rsid w:val="006E1070"/>
    <w:rsid w:val="006E10F0"/>
    <w:rsid w:val="006E192C"/>
    <w:rsid w:val="006E1AA1"/>
    <w:rsid w:val="006E1AE4"/>
    <w:rsid w:val="006E1AFD"/>
    <w:rsid w:val="006E1C3A"/>
    <w:rsid w:val="006E1DC3"/>
    <w:rsid w:val="006E28AF"/>
    <w:rsid w:val="006E2AED"/>
    <w:rsid w:val="006E2FCF"/>
    <w:rsid w:val="006E3400"/>
    <w:rsid w:val="006E363B"/>
    <w:rsid w:val="006E3814"/>
    <w:rsid w:val="006E43E8"/>
    <w:rsid w:val="006E4A5E"/>
    <w:rsid w:val="006E4F7D"/>
    <w:rsid w:val="006E5A00"/>
    <w:rsid w:val="006E5A66"/>
    <w:rsid w:val="006E600F"/>
    <w:rsid w:val="006E654C"/>
    <w:rsid w:val="006E67A9"/>
    <w:rsid w:val="006E6A43"/>
    <w:rsid w:val="006E6DA3"/>
    <w:rsid w:val="006E7445"/>
    <w:rsid w:val="006E78A8"/>
    <w:rsid w:val="006E7CD9"/>
    <w:rsid w:val="006F046D"/>
    <w:rsid w:val="006F06E4"/>
    <w:rsid w:val="006F0928"/>
    <w:rsid w:val="006F0A17"/>
    <w:rsid w:val="006F0EC5"/>
    <w:rsid w:val="006F1268"/>
    <w:rsid w:val="006F17D5"/>
    <w:rsid w:val="006F18BE"/>
    <w:rsid w:val="006F1B22"/>
    <w:rsid w:val="006F1C8F"/>
    <w:rsid w:val="006F1F26"/>
    <w:rsid w:val="006F2099"/>
    <w:rsid w:val="006F22C6"/>
    <w:rsid w:val="006F2518"/>
    <w:rsid w:val="006F2727"/>
    <w:rsid w:val="006F2CA7"/>
    <w:rsid w:val="006F2FC6"/>
    <w:rsid w:val="006F33F3"/>
    <w:rsid w:val="006F369D"/>
    <w:rsid w:val="006F3964"/>
    <w:rsid w:val="006F3F87"/>
    <w:rsid w:val="006F406A"/>
    <w:rsid w:val="006F40F2"/>
    <w:rsid w:val="006F41B3"/>
    <w:rsid w:val="006F41D8"/>
    <w:rsid w:val="006F499F"/>
    <w:rsid w:val="006F4E0E"/>
    <w:rsid w:val="006F524B"/>
    <w:rsid w:val="006F55E8"/>
    <w:rsid w:val="006F56B2"/>
    <w:rsid w:val="006F6445"/>
    <w:rsid w:val="006F6ADE"/>
    <w:rsid w:val="006F6F0F"/>
    <w:rsid w:val="006F6FD2"/>
    <w:rsid w:val="006F7078"/>
    <w:rsid w:val="006F70AD"/>
    <w:rsid w:val="006F719E"/>
    <w:rsid w:val="006F73B5"/>
    <w:rsid w:val="006F7F74"/>
    <w:rsid w:val="007007F8"/>
    <w:rsid w:val="00700BE4"/>
    <w:rsid w:val="007012EB"/>
    <w:rsid w:val="00702087"/>
    <w:rsid w:val="007021CB"/>
    <w:rsid w:val="007028C5"/>
    <w:rsid w:val="00702901"/>
    <w:rsid w:val="00702B38"/>
    <w:rsid w:val="00702D6D"/>
    <w:rsid w:val="00702FF2"/>
    <w:rsid w:val="00703068"/>
    <w:rsid w:val="00703A34"/>
    <w:rsid w:val="00703B1F"/>
    <w:rsid w:val="0070417F"/>
    <w:rsid w:val="007045A5"/>
    <w:rsid w:val="007049ED"/>
    <w:rsid w:val="00704E0C"/>
    <w:rsid w:val="00705566"/>
    <w:rsid w:val="0070621D"/>
    <w:rsid w:val="007065ED"/>
    <w:rsid w:val="007065FA"/>
    <w:rsid w:val="007066D5"/>
    <w:rsid w:val="00706A24"/>
    <w:rsid w:val="00706E45"/>
    <w:rsid w:val="00706EE3"/>
    <w:rsid w:val="00707787"/>
    <w:rsid w:val="007079C3"/>
    <w:rsid w:val="00707ED6"/>
    <w:rsid w:val="00707FD9"/>
    <w:rsid w:val="00710487"/>
    <w:rsid w:val="00710844"/>
    <w:rsid w:val="007111A6"/>
    <w:rsid w:val="007111DF"/>
    <w:rsid w:val="00711612"/>
    <w:rsid w:val="0071170A"/>
    <w:rsid w:val="0071183F"/>
    <w:rsid w:val="00711952"/>
    <w:rsid w:val="00711987"/>
    <w:rsid w:val="00711D12"/>
    <w:rsid w:val="00712252"/>
    <w:rsid w:val="00712F4C"/>
    <w:rsid w:val="00713C18"/>
    <w:rsid w:val="0071400E"/>
    <w:rsid w:val="007147C1"/>
    <w:rsid w:val="00714BBE"/>
    <w:rsid w:val="007159CE"/>
    <w:rsid w:val="00715B6A"/>
    <w:rsid w:val="007164BF"/>
    <w:rsid w:val="00716769"/>
    <w:rsid w:val="00716937"/>
    <w:rsid w:val="00716DDD"/>
    <w:rsid w:val="007170F7"/>
    <w:rsid w:val="0071769C"/>
    <w:rsid w:val="00717775"/>
    <w:rsid w:val="00717FB1"/>
    <w:rsid w:val="00717FB7"/>
    <w:rsid w:val="00720282"/>
    <w:rsid w:val="007205B8"/>
    <w:rsid w:val="00720BDA"/>
    <w:rsid w:val="00720C01"/>
    <w:rsid w:val="007210D3"/>
    <w:rsid w:val="007214DE"/>
    <w:rsid w:val="0072174C"/>
    <w:rsid w:val="00721915"/>
    <w:rsid w:val="007221B9"/>
    <w:rsid w:val="007224C1"/>
    <w:rsid w:val="007228AE"/>
    <w:rsid w:val="007228C1"/>
    <w:rsid w:val="00722B75"/>
    <w:rsid w:val="00722E33"/>
    <w:rsid w:val="0072312F"/>
    <w:rsid w:val="007232A0"/>
    <w:rsid w:val="0072390A"/>
    <w:rsid w:val="00723AF2"/>
    <w:rsid w:val="00724F96"/>
    <w:rsid w:val="00724FAA"/>
    <w:rsid w:val="0072503C"/>
    <w:rsid w:val="007251E8"/>
    <w:rsid w:val="00725600"/>
    <w:rsid w:val="00725F09"/>
    <w:rsid w:val="007261BF"/>
    <w:rsid w:val="0072636D"/>
    <w:rsid w:val="0072648C"/>
    <w:rsid w:val="00726B38"/>
    <w:rsid w:val="00726D86"/>
    <w:rsid w:val="007271FF"/>
    <w:rsid w:val="007276EF"/>
    <w:rsid w:val="00727802"/>
    <w:rsid w:val="00727D9E"/>
    <w:rsid w:val="007306AD"/>
    <w:rsid w:val="00730874"/>
    <w:rsid w:val="00730AD9"/>
    <w:rsid w:val="00730D0D"/>
    <w:rsid w:val="00730F0C"/>
    <w:rsid w:val="00730F70"/>
    <w:rsid w:val="00731D09"/>
    <w:rsid w:val="00731E55"/>
    <w:rsid w:val="0073271B"/>
    <w:rsid w:val="00732CBA"/>
    <w:rsid w:val="00732CFF"/>
    <w:rsid w:val="00733394"/>
    <w:rsid w:val="00733624"/>
    <w:rsid w:val="0073386D"/>
    <w:rsid w:val="00733917"/>
    <w:rsid w:val="00733A89"/>
    <w:rsid w:val="00733B22"/>
    <w:rsid w:val="00733E57"/>
    <w:rsid w:val="007345C6"/>
    <w:rsid w:val="0073576D"/>
    <w:rsid w:val="0073604A"/>
    <w:rsid w:val="007360A0"/>
    <w:rsid w:val="007361A6"/>
    <w:rsid w:val="007362FD"/>
    <w:rsid w:val="007366B9"/>
    <w:rsid w:val="007366CC"/>
    <w:rsid w:val="007368F4"/>
    <w:rsid w:val="00736A96"/>
    <w:rsid w:val="00736C7B"/>
    <w:rsid w:val="007379EC"/>
    <w:rsid w:val="00737BB4"/>
    <w:rsid w:val="00740E80"/>
    <w:rsid w:val="0074165A"/>
    <w:rsid w:val="0074175C"/>
    <w:rsid w:val="00742011"/>
    <w:rsid w:val="007420C7"/>
    <w:rsid w:val="0074218A"/>
    <w:rsid w:val="0074220E"/>
    <w:rsid w:val="007422A5"/>
    <w:rsid w:val="00742B12"/>
    <w:rsid w:val="00742E1C"/>
    <w:rsid w:val="007435E8"/>
    <w:rsid w:val="0074386F"/>
    <w:rsid w:val="00743EF3"/>
    <w:rsid w:val="00744AA9"/>
    <w:rsid w:val="00744C5C"/>
    <w:rsid w:val="00744DBD"/>
    <w:rsid w:val="00744E82"/>
    <w:rsid w:val="007452E2"/>
    <w:rsid w:val="00745441"/>
    <w:rsid w:val="00745900"/>
    <w:rsid w:val="00745DA8"/>
    <w:rsid w:val="00745DC9"/>
    <w:rsid w:val="0074602C"/>
    <w:rsid w:val="007463D3"/>
    <w:rsid w:val="00746C63"/>
    <w:rsid w:val="007472C7"/>
    <w:rsid w:val="00747336"/>
    <w:rsid w:val="00747527"/>
    <w:rsid w:val="007477BD"/>
    <w:rsid w:val="00747A9B"/>
    <w:rsid w:val="00747C5A"/>
    <w:rsid w:val="007501AF"/>
    <w:rsid w:val="00750247"/>
    <w:rsid w:val="007503AA"/>
    <w:rsid w:val="00750498"/>
    <w:rsid w:val="00750D48"/>
    <w:rsid w:val="00750DA1"/>
    <w:rsid w:val="00750F37"/>
    <w:rsid w:val="00750FBE"/>
    <w:rsid w:val="00751482"/>
    <w:rsid w:val="007515E1"/>
    <w:rsid w:val="00751764"/>
    <w:rsid w:val="00751772"/>
    <w:rsid w:val="00751C71"/>
    <w:rsid w:val="007529F9"/>
    <w:rsid w:val="00752BF4"/>
    <w:rsid w:val="00752E0B"/>
    <w:rsid w:val="007533B8"/>
    <w:rsid w:val="00753497"/>
    <w:rsid w:val="007536EC"/>
    <w:rsid w:val="0075384B"/>
    <w:rsid w:val="0075392D"/>
    <w:rsid w:val="00753A53"/>
    <w:rsid w:val="00753CE1"/>
    <w:rsid w:val="00754A81"/>
    <w:rsid w:val="00754D93"/>
    <w:rsid w:val="00754FC5"/>
    <w:rsid w:val="007553CB"/>
    <w:rsid w:val="00755404"/>
    <w:rsid w:val="00755A5F"/>
    <w:rsid w:val="00755B24"/>
    <w:rsid w:val="00755B9B"/>
    <w:rsid w:val="00755CAE"/>
    <w:rsid w:val="007575FC"/>
    <w:rsid w:val="00757C04"/>
    <w:rsid w:val="00760C07"/>
    <w:rsid w:val="00760C84"/>
    <w:rsid w:val="0076166E"/>
    <w:rsid w:val="00761BC3"/>
    <w:rsid w:val="007627A4"/>
    <w:rsid w:val="00762858"/>
    <w:rsid w:val="00763369"/>
    <w:rsid w:val="007633DF"/>
    <w:rsid w:val="00763EC2"/>
    <w:rsid w:val="00763FE2"/>
    <w:rsid w:val="00764098"/>
    <w:rsid w:val="00764302"/>
    <w:rsid w:val="00764991"/>
    <w:rsid w:val="00764D21"/>
    <w:rsid w:val="0076511D"/>
    <w:rsid w:val="00765138"/>
    <w:rsid w:val="007665D8"/>
    <w:rsid w:val="00766633"/>
    <w:rsid w:val="00766E0A"/>
    <w:rsid w:val="00766E70"/>
    <w:rsid w:val="00766EFB"/>
    <w:rsid w:val="00767188"/>
    <w:rsid w:val="00767253"/>
    <w:rsid w:val="00767424"/>
    <w:rsid w:val="00770396"/>
    <w:rsid w:val="00770E43"/>
    <w:rsid w:val="00770FAE"/>
    <w:rsid w:val="00771688"/>
    <w:rsid w:val="007718F3"/>
    <w:rsid w:val="00771966"/>
    <w:rsid w:val="00771DA5"/>
    <w:rsid w:val="00772269"/>
    <w:rsid w:val="0077248A"/>
    <w:rsid w:val="007727C6"/>
    <w:rsid w:val="00772BC6"/>
    <w:rsid w:val="00772E44"/>
    <w:rsid w:val="0077374C"/>
    <w:rsid w:val="00773752"/>
    <w:rsid w:val="00773CE5"/>
    <w:rsid w:val="0077401E"/>
    <w:rsid w:val="00774610"/>
    <w:rsid w:val="007746E7"/>
    <w:rsid w:val="00774A84"/>
    <w:rsid w:val="00774CF6"/>
    <w:rsid w:val="00774F02"/>
    <w:rsid w:val="0077516A"/>
    <w:rsid w:val="007751AB"/>
    <w:rsid w:val="007751DE"/>
    <w:rsid w:val="0077566B"/>
    <w:rsid w:val="007756AA"/>
    <w:rsid w:val="00775D3B"/>
    <w:rsid w:val="00776569"/>
    <w:rsid w:val="007765C1"/>
    <w:rsid w:val="00776655"/>
    <w:rsid w:val="00777139"/>
    <w:rsid w:val="007774A0"/>
    <w:rsid w:val="00777D3E"/>
    <w:rsid w:val="00777DBD"/>
    <w:rsid w:val="00780394"/>
    <w:rsid w:val="007803B8"/>
    <w:rsid w:val="007804FB"/>
    <w:rsid w:val="0078069A"/>
    <w:rsid w:val="007812C0"/>
    <w:rsid w:val="00781363"/>
    <w:rsid w:val="00781669"/>
    <w:rsid w:val="00782119"/>
    <w:rsid w:val="007823C2"/>
    <w:rsid w:val="00782A27"/>
    <w:rsid w:val="00782D36"/>
    <w:rsid w:val="00782E39"/>
    <w:rsid w:val="00782F53"/>
    <w:rsid w:val="00783192"/>
    <w:rsid w:val="0078352E"/>
    <w:rsid w:val="007836F0"/>
    <w:rsid w:val="00783947"/>
    <w:rsid w:val="00784BA6"/>
    <w:rsid w:val="00784DFA"/>
    <w:rsid w:val="0078612F"/>
    <w:rsid w:val="00786E21"/>
    <w:rsid w:val="007871A5"/>
    <w:rsid w:val="007872E9"/>
    <w:rsid w:val="00787646"/>
    <w:rsid w:val="007878EF"/>
    <w:rsid w:val="00790377"/>
    <w:rsid w:val="00790380"/>
    <w:rsid w:val="00790760"/>
    <w:rsid w:val="007907F8"/>
    <w:rsid w:val="007909F2"/>
    <w:rsid w:val="00790F1F"/>
    <w:rsid w:val="00790FAD"/>
    <w:rsid w:val="0079131C"/>
    <w:rsid w:val="0079141B"/>
    <w:rsid w:val="007916B3"/>
    <w:rsid w:val="00791F19"/>
    <w:rsid w:val="007923EF"/>
    <w:rsid w:val="007927D7"/>
    <w:rsid w:val="0079309E"/>
    <w:rsid w:val="0079328C"/>
    <w:rsid w:val="007937E9"/>
    <w:rsid w:val="00793F15"/>
    <w:rsid w:val="00794087"/>
    <w:rsid w:val="007940B2"/>
    <w:rsid w:val="00794FF9"/>
    <w:rsid w:val="007954F6"/>
    <w:rsid w:val="0079589F"/>
    <w:rsid w:val="0079622C"/>
    <w:rsid w:val="00796559"/>
    <w:rsid w:val="0079688C"/>
    <w:rsid w:val="00796C72"/>
    <w:rsid w:val="00796FFF"/>
    <w:rsid w:val="007970D2"/>
    <w:rsid w:val="007972FB"/>
    <w:rsid w:val="00797314"/>
    <w:rsid w:val="00797B39"/>
    <w:rsid w:val="00797C14"/>
    <w:rsid w:val="00797F39"/>
    <w:rsid w:val="007A006E"/>
    <w:rsid w:val="007A03EA"/>
    <w:rsid w:val="007A0432"/>
    <w:rsid w:val="007A08F8"/>
    <w:rsid w:val="007A0F50"/>
    <w:rsid w:val="007A0F5B"/>
    <w:rsid w:val="007A1022"/>
    <w:rsid w:val="007A227D"/>
    <w:rsid w:val="007A2336"/>
    <w:rsid w:val="007A245D"/>
    <w:rsid w:val="007A2648"/>
    <w:rsid w:val="007A29D4"/>
    <w:rsid w:val="007A2BF7"/>
    <w:rsid w:val="007A2DEC"/>
    <w:rsid w:val="007A2F7F"/>
    <w:rsid w:val="007A3712"/>
    <w:rsid w:val="007A3D6D"/>
    <w:rsid w:val="007A3FD3"/>
    <w:rsid w:val="007A40BF"/>
    <w:rsid w:val="007A4187"/>
    <w:rsid w:val="007A44FE"/>
    <w:rsid w:val="007A48A9"/>
    <w:rsid w:val="007A4AF3"/>
    <w:rsid w:val="007A4DE7"/>
    <w:rsid w:val="007A5195"/>
    <w:rsid w:val="007A58EA"/>
    <w:rsid w:val="007A5996"/>
    <w:rsid w:val="007A5D53"/>
    <w:rsid w:val="007A6252"/>
    <w:rsid w:val="007A6719"/>
    <w:rsid w:val="007A6E4F"/>
    <w:rsid w:val="007A76E5"/>
    <w:rsid w:val="007A7B5F"/>
    <w:rsid w:val="007A7D2B"/>
    <w:rsid w:val="007B005B"/>
    <w:rsid w:val="007B00A0"/>
    <w:rsid w:val="007B01BD"/>
    <w:rsid w:val="007B0A8E"/>
    <w:rsid w:val="007B0EBE"/>
    <w:rsid w:val="007B110B"/>
    <w:rsid w:val="007B12AB"/>
    <w:rsid w:val="007B182B"/>
    <w:rsid w:val="007B1A44"/>
    <w:rsid w:val="007B2238"/>
    <w:rsid w:val="007B28F0"/>
    <w:rsid w:val="007B2D29"/>
    <w:rsid w:val="007B2FA0"/>
    <w:rsid w:val="007B3255"/>
    <w:rsid w:val="007B32DA"/>
    <w:rsid w:val="007B3427"/>
    <w:rsid w:val="007B3A40"/>
    <w:rsid w:val="007B3E37"/>
    <w:rsid w:val="007B4124"/>
    <w:rsid w:val="007B4190"/>
    <w:rsid w:val="007B501C"/>
    <w:rsid w:val="007B5A17"/>
    <w:rsid w:val="007B5B87"/>
    <w:rsid w:val="007B6604"/>
    <w:rsid w:val="007B668D"/>
    <w:rsid w:val="007B693C"/>
    <w:rsid w:val="007B6CBC"/>
    <w:rsid w:val="007B7184"/>
    <w:rsid w:val="007B7439"/>
    <w:rsid w:val="007B779F"/>
    <w:rsid w:val="007B7F23"/>
    <w:rsid w:val="007C04C7"/>
    <w:rsid w:val="007C0525"/>
    <w:rsid w:val="007C0A70"/>
    <w:rsid w:val="007C0DA2"/>
    <w:rsid w:val="007C103E"/>
    <w:rsid w:val="007C1378"/>
    <w:rsid w:val="007C160E"/>
    <w:rsid w:val="007C1EA1"/>
    <w:rsid w:val="007C28FE"/>
    <w:rsid w:val="007C2922"/>
    <w:rsid w:val="007C3774"/>
    <w:rsid w:val="007C39BB"/>
    <w:rsid w:val="007C3AF1"/>
    <w:rsid w:val="007C3BEE"/>
    <w:rsid w:val="007C3F43"/>
    <w:rsid w:val="007C3F96"/>
    <w:rsid w:val="007C4088"/>
    <w:rsid w:val="007C49C7"/>
    <w:rsid w:val="007C4E3D"/>
    <w:rsid w:val="007C4E64"/>
    <w:rsid w:val="007C55CE"/>
    <w:rsid w:val="007C5951"/>
    <w:rsid w:val="007C5D6A"/>
    <w:rsid w:val="007C5F43"/>
    <w:rsid w:val="007C63DB"/>
    <w:rsid w:val="007C67BA"/>
    <w:rsid w:val="007C7239"/>
    <w:rsid w:val="007C7749"/>
    <w:rsid w:val="007C7767"/>
    <w:rsid w:val="007C7798"/>
    <w:rsid w:val="007C7E5E"/>
    <w:rsid w:val="007D003B"/>
    <w:rsid w:val="007D06AA"/>
    <w:rsid w:val="007D09D1"/>
    <w:rsid w:val="007D0A65"/>
    <w:rsid w:val="007D1352"/>
    <w:rsid w:val="007D1C6E"/>
    <w:rsid w:val="007D259A"/>
    <w:rsid w:val="007D25D8"/>
    <w:rsid w:val="007D3194"/>
    <w:rsid w:val="007D3224"/>
    <w:rsid w:val="007D333B"/>
    <w:rsid w:val="007D37EF"/>
    <w:rsid w:val="007D383D"/>
    <w:rsid w:val="007D3C04"/>
    <w:rsid w:val="007D3F37"/>
    <w:rsid w:val="007D41DC"/>
    <w:rsid w:val="007D4339"/>
    <w:rsid w:val="007D4668"/>
    <w:rsid w:val="007D4916"/>
    <w:rsid w:val="007D4C59"/>
    <w:rsid w:val="007D5362"/>
    <w:rsid w:val="007D5586"/>
    <w:rsid w:val="007D5632"/>
    <w:rsid w:val="007D57D0"/>
    <w:rsid w:val="007D5B98"/>
    <w:rsid w:val="007D5E83"/>
    <w:rsid w:val="007D64E0"/>
    <w:rsid w:val="007D7023"/>
    <w:rsid w:val="007D708D"/>
    <w:rsid w:val="007D7283"/>
    <w:rsid w:val="007D72FE"/>
    <w:rsid w:val="007D7885"/>
    <w:rsid w:val="007D7CB5"/>
    <w:rsid w:val="007D7F26"/>
    <w:rsid w:val="007E05EA"/>
    <w:rsid w:val="007E0ACB"/>
    <w:rsid w:val="007E0C1C"/>
    <w:rsid w:val="007E0E0A"/>
    <w:rsid w:val="007E11C9"/>
    <w:rsid w:val="007E14ED"/>
    <w:rsid w:val="007E1AAC"/>
    <w:rsid w:val="007E1FF3"/>
    <w:rsid w:val="007E20D4"/>
    <w:rsid w:val="007E247A"/>
    <w:rsid w:val="007E369A"/>
    <w:rsid w:val="007E3CE9"/>
    <w:rsid w:val="007E41BD"/>
    <w:rsid w:val="007E4960"/>
    <w:rsid w:val="007E4CC8"/>
    <w:rsid w:val="007E4E40"/>
    <w:rsid w:val="007E563D"/>
    <w:rsid w:val="007E56A6"/>
    <w:rsid w:val="007E5B90"/>
    <w:rsid w:val="007E5FCC"/>
    <w:rsid w:val="007E63DB"/>
    <w:rsid w:val="007E6895"/>
    <w:rsid w:val="007E6ADE"/>
    <w:rsid w:val="007E6C27"/>
    <w:rsid w:val="007E6FB0"/>
    <w:rsid w:val="007E7210"/>
    <w:rsid w:val="007E77BE"/>
    <w:rsid w:val="007F010F"/>
    <w:rsid w:val="007F0496"/>
    <w:rsid w:val="007F06D9"/>
    <w:rsid w:val="007F0A5D"/>
    <w:rsid w:val="007F1198"/>
    <w:rsid w:val="007F21AA"/>
    <w:rsid w:val="007F4426"/>
    <w:rsid w:val="007F4568"/>
    <w:rsid w:val="007F466E"/>
    <w:rsid w:val="007F46D3"/>
    <w:rsid w:val="007F4BA0"/>
    <w:rsid w:val="007F4FC5"/>
    <w:rsid w:val="007F5095"/>
    <w:rsid w:val="007F5664"/>
    <w:rsid w:val="007F5E32"/>
    <w:rsid w:val="007F61DF"/>
    <w:rsid w:val="007F61E9"/>
    <w:rsid w:val="007F6268"/>
    <w:rsid w:val="007F62AE"/>
    <w:rsid w:val="007F635D"/>
    <w:rsid w:val="007F6B25"/>
    <w:rsid w:val="007F6DFF"/>
    <w:rsid w:val="007F7059"/>
    <w:rsid w:val="007F75B3"/>
    <w:rsid w:val="007F7D50"/>
    <w:rsid w:val="008001DA"/>
    <w:rsid w:val="00800396"/>
    <w:rsid w:val="008003CB"/>
    <w:rsid w:val="008004C9"/>
    <w:rsid w:val="00800A54"/>
    <w:rsid w:val="00800D0F"/>
    <w:rsid w:val="00801C63"/>
    <w:rsid w:val="00801D10"/>
    <w:rsid w:val="00801F54"/>
    <w:rsid w:val="00803C8D"/>
    <w:rsid w:val="0080455F"/>
    <w:rsid w:val="008045A4"/>
    <w:rsid w:val="008047DB"/>
    <w:rsid w:val="00804AF7"/>
    <w:rsid w:val="00804C90"/>
    <w:rsid w:val="00805981"/>
    <w:rsid w:val="00805A35"/>
    <w:rsid w:val="00805BF3"/>
    <w:rsid w:val="00806315"/>
    <w:rsid w:val="008063F9"/>
    <w:rsid w:val="008066F8"/>
    <w:rsid w:val="00806B4C"/>
    <w:rsid w:val="00806FEC"/>
    <w:rsid w:val="0080798F"/>
    <w:rsid w:val="00807AD7"/>
    <w:rsid w:val="00807FE0"/>
    <w:rsid w:val="008101DD"/>
    <w:rsid w:val="00810302"/>
    <w:rsid w:val="008105C7"/>
    <w:rsid w:val="00810937"/>
    <w:rsid w:val="00810ADF"/>
    <w:rsid w:val="008111C6"/>
    <w:rsid w:val="00811418"/>
    <w:rsid w:val="00811581"/>
    <w:rsid w:val="008115E0"/>
    <w:rsid w:val="00811A7B"/>
    <w:rsid w:val="00811E45"/>
    <w:rsid w:val="00812483"/>
    <w:rsid w:val="00812967"/>
    <w:rsid w:val="008132A9"/>
    <w:rsid w:val="00813703"/>
    <w:rsid w:val="00813FF6"/>
    <w:rsid w:val="00814038"/>
    <w:rsid w:val="00814088"/>
    <w:rsid w:val="00814115"/>
    <w:rsid w:val="008148C4"/>
    <w:rsid w:val="008148E7"/>
    <w:rsid w:val="00814FB5"/>
    <w:rsid w:val="008151CF"/>
    <w:rsid w:val="008159B3"/>
    <w:rsid w:val="00815B97"/>
    <w:rsid w:val="00815BFF"/>
    <w:rsid w:val="00815C05"/>
    <w:rsid w:val="00815D71"/>
    <w:rsid w:val="00815FEA"/>
    <w:rsid w:val="0081601E"/>
    <w:rsid w:val="0081613F"/>
    <w:rsid w:val="00816335"/>
    <w:rsid w:val="008164D6"/>
    <w:rsid w:val="00816825"/>
    <w:rsid w:val="008170B1"/>
    <w:rsid w:val="0081763A"/>
    <w:rsid w:val="008177AC"/>
    <w:rsid w:val="00817933"/>
    <w:rsid w:val="008202F7"/>
    <w:rsid w:val="00820842"/>
    <w:rsid w:val="00820BB2"/>
    <w:rsid w:val="00820F9B"/>
    <w:rsid w:val="008212C8"/>
    <w:rsid w:val="008212E8"/>
    <w:rsid w:val="00821451"/>
    <w:rsid w:val="00821499"/>
    <w:rsid w:val="00821C6B"/>
    <w:rsid w:val="0082259D"/>
    <w:rsid w:val="00822DE2"/>
    <w:rsid w:val="0082309E"/>
    <w:rsid w:val="0082378D"/>
    <w:rsid w:val="00823800"/>
    <w:rsid w:val="0082386A"/>
    <w:rsid w:val="00823949"/>
    <w:rsid w:val="00823B2D"/>
    <w:rsid w:val="00824095"/>
    <w:rsid w:val="008245BB"/>
    <w:rsid w:val="00824E86"/>
    <w:rsid w:val="008251F9"/>
    <w:rsid w:val="008253DA"/>
    <w:rsid w:val="00825EAE"/>
    <w:rsid w:val="00826480"/>
    <w:rsid w:val="008268BF"/>
    <w:rsid w:val="00826A4E"/>
    <w:rsid w:val="00826AA4"/>
    <w:rsid w:val="008271B3"/>
    <w:rsid w:val="00827735"/>
    <w:rsid w:val="0082782D"/>
    <w:rsid w:val="008279DA"/>
    <w:rsid w:val="00830161"/>
    <w:rsid w:val="008303A4"/>
    <w:rsid w:val="008305F8"/>
    <w:rsid w:val="008309FD"/>
    <w:rsid w:val="00830ABC"/>
    <w:rsid w:val="00830B79"/>
    <w:rsid w:val="00830BAD"/>
    <w:rsid w:val="008310FE"/>
    <w:rsid w:val="008311E4"/>
    <w:rsid w:val="00831AF4"/>
    <w:rsid w:val="008324EE"/>
    <w:rsid w:val="0083254D"/>
    <w:rsid w:val="008326C8"/>
    <w:rsid w:val="00832E3E"/>
    <w:rsid w:val="00832EFD"/>
    <w:rsid w:val="008330B3"/>
    <w:rsid w:val="00833A4E"/>
    <w:rsid w:val="00833BA2"/>
    <w:rsid w:val="00833C41"/>
    <w:rsid w:val="0083410C"/>
    <w:rsid w:val="00834565"/>
    <w:rsid w:val="00834EA4"/>
    <w:rsid w:val="00835126"/>
    <w:rsid w:val="00835609"/>
    <w:rsid w:val="00835D34"/>
    <w:rsid w:val="0083600E"/>
    <w:rsid w:val="008360F4"/>
    <w:rsid w:val="0083615F"/>
    <w:rsid w:val="0083618D"/>
    <w:rsid w:val="00836211"/>
    <w:rsid w:val="008365FC"/>
    <w:rsid w:val="00836F62"/>
    <w:rsid w:val="00837195"/>
    <w:rsid w:val="00837318"/>
    <w:rsid w:val="008373C6"/>
    <w:rsid w:val="008373F7"/>
    <w:rsid w:val="0083776F"/>
    <w:rsid w:val="00837F84"/>
    <w:rsid w:val="00837FF8"/>
    <w:rsid w:val="008401F2"/>
    <w:rsid w:val="008405A5"/>
    <w:rsid w:val="008405F6"/>
    <w:rsid w:val="0084079A"/>
    <w:rsid w:val="008407D6"/>
    <w:rsid w:val="0084161C"/>
    <w:rsid w:val="008417F8"/>
    <w:rsid w:val="00841E50"/>
    <w:rsid w:val="008420B9"/>
    <w:rsid w:val="008422B2"/>
    <w:rsid w:val="00842482"/>
    <w:rsid w:val="008428E6"/>
    <w:rsid w:val="00842A7F"/>
    <w:rsid w:val="00842DA1"/>
    <w:rsid w:val="00842DD8"/>
    <w:rsid w:val="008432CD"/>
    <w:rsid w:val="00843631"/>
    <w:rsid w:val="008437CD"/>
    <w:rsid w:val="00843A23"/>
    <w:rsid w:val="00843E94"/>
    <w:rsid w:val="00843FE3"/>
    <w:rsid w:val="0084419A"/>
    <w:rsid w:val="008445B4"/>
    <w:rsid w:val="00844838"/>
    <w:rsid w:val="008452B0"/>
    <w:rsid w:val="008452C9"/>
    <w:rsid w:val="008452E2"/>
    <w:rsid w:val="00845CBE"/>
    <w:rsid w:val="00845DF6"/>
    <w:rsid w:val="00846037"/>
    <w:rsid w:val="00846140"/>
    <w:rsid w:val="008461B6"/>
    <w:rsid w:val="00846342"/>
    <w:rsid w:val="00846D9E"/>
    <w:rsid w:val="00846F1A"/>
    <w:rsid w:val="00846F1D"/>
    <w:rsid w:val="0084721D"/>
    <w:rsid w:val="00847AD5"/>
    <w:rsid w:val="00847D08"/>
    <w:rsid w:val="00847F4D"/>
    <w:rsid w:val="008503B8"/>
    <w:rsid w:val="00850ECE"/>
    <w:rsid w:val="00850FF7"/>
    <w:rsid w:val="0085112D"/>
    <w:rsid w:val="008511EC"/>
    <w:rsid w:val="00851305"/>
    <w:rsid w:val="00851525"/>
    <w:rsid w:val="0085154A"/>
    <w:rsid w:val="00851AE4"/>
    <w:rsid w:val="00851C9B"/>
    <w:rsid w:val="00851F13"/>
    <w:rsid w:val="00852BBB"/>
    <w:rsid w:val="00852C03"/>
    <w:rsid w:val="008532C8"/>
    <w:rsid w:val="008536AB"/>
    <w:rsid w:val="0085390E"/>
    <w:rsid w:val="00853B3D"/>
    <w:rsid w:val="00853CC6"/>
    <w:rsid w:val="00854133"/>
    <w:rsid w:val="008542B1"/>
    <w:rsid w:val="008544DA"/>
    <w:rsid w:val="0085465C"/>
    <w:rsid w:val="00854CDF"/>
    <w:rsid w:val="00855080"/>
    <w:rsid w:val="0085553D"/>
    <w:rsid w:val="00855E28"/>
    <w:rsid w:val="00856048"/>
    <w:rsid w:val="00856783"/>
    <w:rsid w:val="00856CA7"/>
    <w:rsid w:val="00856EEA"/>
    <w:rsid w:val="00857529"/>
    <w:rsid w:val="00857957"/>
    <w:rsid w:val="00857AB6"/>
    <w:rsid w:val="00857FDD"/>
    <w:rsid w:val="00857FF4"/>
    <w:rsid w:val="00857FFA"/>
    <w:rsid w:val="008602CD"/>
    <w:rsid w:val="008605F3"/>
    <w:rsid w:val="00860A5D"/>
    <w:rsid w:val="00860CD0"/>
    <w:rsid w:val="00861532"/>
    <w:rsid w:val="00861B2D"/>
    <w:rsid w:val="00861B4C"/>
    <w:rsid w:val="008629A4"/>
    <w:rsid w:val="008629DF"/>
    <w:rsid w:val="00862B88"/>
    <w:rsid w:val="0086338B"/>
    <w:rsid w:val="0086383D"/>
    <w:rsid w:val="00863F7C"/>
    <w:rsid w:val="00864021"/>
    <w:rsid w:val="0086573C"/>
    <w:rsid w:val="008660FB"/>
    <w:rsid w:val="0086613F"/>
    <w:rsid w:val="008661A1"/>
    <w:rsid w:val="00866222"/>
    <w:rsid w:val="00866677"/>
    <w:rsid w:val="00866942"/>
    <w:rsid w:val="00867217"/>
    <w:rsid w:val="008672DE"/>
    <w:rsid w:val="0086732C"/>
    <w:rsid w:val="008676B7"/>
    <w:rsid w:val="00867E7E"/>
    <w:rsid w:val="00870240"/>
    <w:rsid w:val="00870276"/>
    <w:rsid w:val="008702FC"/>
    <w:rsid w:val="008709A3"/>
    <w:rsid w:val="00870ADC"/>
    <w:rsid w:val="0087107E"/>
    <w:rsid w:val="00871767"/>
    <w:rsid w:val="00871C69"/>
    <w:rsid w:val="0087252B"/>
    <w:rsid w:val="00872A30"/>
    <w:rsid w:val="00872F73"/>
    <w:rsid w:val="00872F96"/>
    <w:rsid w:val="00873664"/>
    <w:rsid w:val="008739E2"/>
    <w:rsid w:val="00873F0B"/>
    <w:rsid w:val="00874014"/>
    <w:rsid w:val="0087446A"/>
    <w:rsid w:val="00874702"/>
    <w:rsid w:val="00874944"/>
    <w:rsid w:val="00874A9F"/>
    <w:rsid w:val="00874D64"/>
    <w:rsid w:val="0087518C"/>
    <w:rsid w:val="00875498"/>
    <w:rsid w:val="00875640"/>
    <w:rsid w:val="008759B8"/>
    <w:rsid w:val="00875B3A"/>
    <w:rsid w:val="00876148"/>
    <w:rsid w:val="00876192"/>
    <w:rsid w:val="008762C6"/>
    <w:rsid w:val="00876725"/>
    <w:rsid w:val="008778AD"/>
    <w:rsid w:val="008779A7"/>
    <w:rsid w:val="00877D12"/>
    <w:rsid w:val="00877D31"/>
    <w:rsid w:val="00877FDD"/>
    <w:rsid w:val="0088044E"/>
    <w:rsid w:val="00880479"/>
    <w:rsid w:val="008806CD"/>
    <w:rsid w:val="00880929"/>
    <w:rsid w:val="00881247"/>
    <w:rsid w:val="00881B99"/>
    <w:rsid w:val="00882ED4"/>
    <w:rsid w:val="00882F01"/>
    <w:rsid w:val="008833EA"/>
    <w:rsid w:val="0088363C"/>
    <w:rsid w:val="00883754"/>
    <w:rsid w:val="0088375E"/>
    <w:rsid w:val="00883AE1"/>
    <w:rsid w:val="0088441F"/>
    <w:rsid w:val="0088460D"/>
    <w:rsid w:val="008846CD"/>
    <w:rsid w:val="00884D12"/>
    <w:rsid w:val="00884EA2"/>
    <w:rsid w:val="008852ED"/>
    <w:rsid w:val="0088548D"/>
    <w:rsid w:val="00886AB6"/>
    <w:rsid w:val="00886FD6"/>
    <w:rsid w:val="00887025"/>
    <w:rsid w:val="00887120"/>
    <w:rsid w:val="00887410"/>
    <w:rsid w:val="00890143"/>
    <w:rsid w:val="0089044D"/>
    <w:rsid w:val="008905E3"/>
    <w:rsid w:val="00890D2F"/>
    <w:rsid w:val="00890EDB"/>
    <w:rsid w:val="008911FD"/>
    <w:rsid w:val="008912AE"/>
    <w:rsid w:val="0089177C"/>
    <w:rsid w:val="00891883"/>
    <w:rsid w:val="0089193B"/>
    <w:rsid w:val="00891AA5"/>
    <w:rsid w:val="008929AD"/>
    <w:rsid w:val="00892AC3"/>
    <w:rsid w:val="00892F57"/>
    <w:rsid w:val="008931F4"/>
    <w:rsid w:val="00893BE5"/>
    <w:rsid w:val="008941EA"/>
    <w:rsid w:val="008943A5"/>
    <w:rsid w:val="008943AC"/>
    <w:rsid w:val="00894908"/>
    <w:rsid w:val="00894A7E"/>
    <w:rsid w:val="00895028"/>
    <w:rsid w:val="00895529"/>
    <w:rsid w:val="0089561F"/>
    <w:rsid w:val="008961F7"/>
    <w:rsid w:val="008964E5"/>
    <w:rsid w:val="00896BE8"/>
    <w:rsid w:val="0089708C"/>
    <w:rsid w:val="0089746F"/>
    <w:rsid w:val="00897B78"/>
    <w:rsid w:val="00897C5B"/>
    <w:rsid w:val="00897DA2"/>
    <w:rsid w:val="008A0530"/>
    <w:rsid w:val="008A05D9"/>
    <w:rsid w:val="008A05DD"/>
    <w:rsid w:val="008A0640"/>
    <w:rsid w:val="008A06BB"/>
    <w:rsid w:val="008A0B88"/>
    <w:rsid w:val="008A14C4"/>
    <w:rsid w:val="008A1609"/>
    <w:rsid w:val="008A1709"/>
    <w:rsid w:val="008A1890"/>
    <w:rsid w:val="008A1997"/>
    <w:rsid w:val="008A20E4"/>
    <w:rsid w:val="008A226D"/>
    <w:rsid w:val="008A29C5"/>
    <w:rsid w:val="008A29E2"/>
    <w:rsid w:val="008A2AF8"/>
    <w:rsid w:val="008A2C51"/>
    <w:rsid w:val="008A2FBE"/>
    <w:rsid w:val="008A303D"/>
    <w:rsid w:val="008A3592"/>
    <w:rsid w:val="008A380D"/>
    <w:rsid w:val="008A3D39"/>
    <w:rsid w:val="008A43B5"/>
    <w:rsid w:val="008A4426"/>
    <w:rsid w:val="008A485F"/>
    <w:rsid w:val="008A4936"/>
    <w:rsid w:val="008A4B75"/>
    <w:rsid w:val="008A4E7B"/>
    <w:rsid w:val="008A4FD4"/>
    <w:rsid w:val="008A51DD"/>
    <w:rsid w:val="008A5286"/>
    <w:rsid w:val="008A53A8"/>
    <w:rsid w:val="008A581D"/>
    <w:rsid w:val="008A598E"/>
    <w:rsid w:val="008A60E4"/>
    <w:rsid w:val="008A6297"/>
    <w:rsid w:val="008A6501"/>
    <w:rsid w:val="008A652D"/>
    <w:rsid w:val="008A68D2"/>
    <w:rsid w:val="008A7299"/>
    <w:rsid w:val="008A736A"/>
    <w:rsid w:val="008A758C"/>
    <w:rsid w:val="008B01DB"/>
    <w:rsid w:val="008B059E"/>
    <w:rsid w:val="008B05D7"/>
    <w:rsid w:val="008B0888"/>
    <w:rsid w:val="008B08EF"/>
    <w:rsid w:val="008B12F4"/>
    <w:rsid w:val="008B1370"/>
    <w:rsid w:val="008B13BB"/>
    <w:rsid w:val="008B1405"/>
    <w:rsid w:val="008B18E1"/>
    <w:rsid w:val="008B1C32"/>
    <w:rsid w:val="008B1E88"/>
    <w:rsid w:val="008B1EC0"/>
    <w:rsid w:val="008B23CD"/>
    <w:rsid w:val="008B275F"/>
    <w:rsid w:val="008B29CA"/>
    <w:rsid w:val="008B2C9F"/>
    <w:rsid w:val="008B3A4E"/>
    <w:rsid w:val="008B3DBB"/>
    <w:rsid w:val="008B3E00"/>
    <w:rsid w:val="008B4841"/>
    <w:rsid w:val="008B4C92"/>
    <w:rsid w:val="008B4DC4"/>
    <w:rsid w:val="008B4F60"/>
    <w:rsid w:val="008B50C4"/>
    <w:rsid w:val="008B58E8"/>
    <w:rsid w:val="008B5B9B"/>
    <w:rsid w:val="008B5FC7"/>
    <w:rsid w:val="008B62F6"/>
    <w:rsid w:val="008B64A9"/>
    <w:rsid w:val="008B6565"/>
    <w:rsid w:val="008B6987"/>
    <w:rsid w:val="008B6E5D"/>
    <w:rsid w:val="008B7365"/>
    <w:rsid w:val="008B76E9"/>
    <w:rsid w:val="008B7DF5"/>
    <w:rsid w:val="008C0395"/>
    <w:rsid w:val="008C04DB"/>
    <w:rsid w:val="008C099E"/>
    <w:rsid w:val="008C0FFC"/>
    <w:rsid w:val="008C16A5"/>
    <w:rsid w:val="008C1D02"/>
    <w:rsid w:val="008C2610"/>
    <w:rsid w:val="008C2830"/>
    <w:rsid w:val="008C2A1F"/>
    <w:rsid w:val="008C2CDD"/>
    <w:rsid w:val="008C30FD"/>
    <w:rsid w:val="008C3A6E"/>
    <w:rsid w:val="008C41A0"/>
    <w:rsid w:val="008C4898"/>
    <w:rsid w:val="008C4D64"/>
    <w:rsid w:val="008C5450"/>
    <w:rsid w:val="008C5A2D"/>
    <w:rsid w:val="008C5A59"/>
    <w:rsid w:val="008C5AB2"/>
    <w:rsid w:val="008C5F50"/>
    <w:rsid w:val="008C602D"/>
    <w:rsid w:val="008C63C7"/>
    <w:rsid w:val="008C64BA"/>
    <w:rsid w:val="008C69B4"/>
    <w:rsid w:val="008C6F7F"/>
    <w:rsid w:val="008C7FD9"/>
    <w:rsid w:val="008D0222"/>
    <w:rsid w:val="008D08F4"/>
    <w:rsid w:val="008D0E22"/>
    <w:rsid w:val="008D1463"/>
    <w:rsid w:val="008D20C6"/>
    <w:rsid w:val="008D22CC"/>
    <w:rsid w:val="008D28B4"/>
    <w:rsid w:val="008D2B8B"/>
    <w:rsid w:val="008D2E7A"/>
    <w:rsid w:val="008D369F"/>
    <w:rsid w:val="008D3B2F"/>
    <w:rsid w:val="008D3BDC"/>
    <w:rsid w:val="008D3F5A"/>
    <w:rsid w:val="008D3FB8"/>
    <w:rsid w:val="008D4352"/>
    <w:rsid w:val="008D474F"/>
    <w:rsid w:val="008D4B9D"/>
    <w:rsid w:val="008D4EA3"/>
    <w:rsid w:val="008D518B"/>
    <w:rsid w:val="008D54F1"/>
    <w:rsid w:val="008D55E1"/>
    <w:rsid w:val="008D59D9"/>
    <w:rsid w:val="008D62B0"/>
    <w:rsid w:val="008D64F9"/>
    <w:rsid w:val="008D662E"/>
    <w:rsid w:val="008D6736"/>
    <w:rsid w:val="008D67D2"/>
    <w:rsid w:val="008D6B25"/>
    <w:rsid w:val="008D6D00"/>
    <w:rsid w:val="008D6D6F"/>
    <w:rsid w:val="008D7114"/>
    <w:rsid w:val="008D761A"/>
    <w:rsid w:val="008D7866"/>
    <w:rsid w:val="008D7B8A"/>
    <w:rsid w:val="008D7D00"/>
    <w:rsid w:val="008D7ED3"/>
    <w:rsid w:val="008E07D8"/>
    <w:rsid w:val="008E0E9D"/>
    <w:rsid w:val="008E14BD"/>
    <w:rsid w:val="008E17C9"/>
    <w:rsid w:val="008E18AB"/>
    <w:rsid w:val="008E19E5"/>
    <w:rsid w:val="008E212E"/>
    <w:rsid w:val="008E2335"/>
    <w:rsid w:val="008E246F"/>
    <w:rsid w:val="008E2D9F"/>
    <w:rsid w:val="008E2EBD"/>
    <w:rsid w:val="008E3039"/>
    <w:rsid w:val="008E32C2"/>
    <w:rsid w:val="008E32CF"/>
    <w:rsid w:val="008E3472"/>
    <w:rsid w:val="008E362C"/>
    <w:rsid w:val="008E3C2B"/>
    <w:rsid w:val="008E3F24"/>
    <w:rsid w:val="008E3F94"/>
    <w:rsid w:val="008E4573"/>
    <w:rsid w:val="008E4641"/>
    <w:rsid w:val="008E4749"/>
    <w:rsid w:val="008E49FE"/>
    <w:rsid w:val="008E4BD3"/>
    <w:rsid w:val="008E4EF3"/>
    <w:rsid w:val="008E4F25"/>
    <w:rsid w:val="008E4FA7"/>
    <w:rsid w:val="008E54C2"/>
    <w:rsid w:val="008E5631"/>
    <w:rsid w:val="008E5F5F"/>
    <w:rsid w:val="008E6624"/>
    <w:rsid w:val="008E6C63"/>
    <w:rsid w:val="008E6E4B"/>
    <w:rsid w:val="008E72A9"/>
    <w:rsid w:val="008E7440"/>
    <w:rsid w:val="008E74B2"/>
    <w:rsid w:val="008E7586"/>
    <w:rsid w:val="008E774A"/>
    <w:rsid w:val="008E7A4F"/>
    <w:rsid w:val="008E7A5C"/>
    <w:rsid w:val="008E7F64"/>
    <w:rsid w:val="008F01ED"/>
    <w:rsid w:val="008F09C2"/>
    <w:rsid w:val="008F1627"/>
    <w:rsid w:val="008F1663"/>
    <w:rsid w:val="008F16E9"/>
    <w:rsid w:val="008F18FC"/>
    <w:rsid w:val="008F1CD8"/>
    <w:rsid w:val="008F1F39"/>
    <w:rsid w:val="008F29A8"/>
    <w:rsid w:val="008F2B00"/>
    <w:rsid w:val="008F2B8F"/>
    <w:rsid w:val="008F2F34"/>
    <w:rsid w:val="008F34A3"/>
    <w:rsid w:val="008F34FA"/>
    <w:rsid w:val="008F352C"/>
    <w:rsid w:val="008F470C"/>
    <w:rsid w:val="008F4C83"/>
    <w:rsid w:val="008F4D8E"/>
    <w:rsid w:val="008F4DB0"/>
    <w:rsid w:val="008F50FF"/>
    <w:rsid w:val="008F5377"/>
    <w:rsid w:val="008F54E4"/>
    <w:rsid w:val="008F5CFD"/>
    <w:rsid w:val="008F656D"/>
    <w:rsid w:val="008F6625"/>
    <w:rsid w:val="008F7545"/>
    <w:rsid w:val="008F7700"/>
    <w:rsid w:val="008F7824"/>
    <w:rsid w:val="008F7B4C"/>
    <w:rsid w:val="0090078B"/>
    <w:rsid w:val="0090099F"/>
    <w:rsid w:val="0090102F"/>
    <w:rsid w:val="00901BD8"/>
    <w:rsid w:val="00901C32"/>
    <w:rsid w:val="00901EB8"/>
    <w:rsid w:val="00902032"/>
    <w:rsid w:val="00902198"/>
    <w:rsid w:val="0090258C"/>
    <w:rsid w:val="0090289A"/>
    <w:rsid w:val="00902ABD"/>
    <w:rsid w:val="00902E6E"/>
    <w:rsid w:val="009031CD"/>
    <w:rsid w:val="0090397C"/>
    <w:rsid w:val="0090429A"/>
    <w:rsid w:val="009042B0"/>
    <w:rsid w:val="0090443A"/>
    <w:rsid w:val="00904674"/>
    <w:rsid w:val="00904D1A"/>
    <w:rsid w:val="00904D46"/>
    <w:rsid w:val="00905455"/>
    <w:rsid w:val="00905908"/>
    <w:rsid w:val="00905B87"/>
    <w:rsid w:val="00905F6D"/>
    <w:rsid w:val="009063DE"/>
    <w:rsid w:val="009065E7"/>
    <w:rsid w:val="0090668B"/>
    <w:rsid w:val="00906A56"/>
    <w:rsid w:val="00907778"/>
    <w:rsid w:val="00910B2B"/>
    <w:rsid w:val="00910B87"/>
    <w:rsid w:val="00910BDB"/>
    <w:rsid w:val="00910C55"/>
    <w:rsid w:val="00910FEC"/>
    <w:rsid w:val="009116D9"/>
    <w:rsid w:val="00911C6D"/>
    <w:rsid w:val="009120E3"/>
    <w:rsid w:val="009126FD"/>
    <w:rsid w:val="00912782"/>
    <w:rsid w:val="00912CAC"/>
    <w:rsid w:val="00912E34"/>
    <w:rsid w:val="009136A5"/>
    <w:rsid w:val="0091373C"/>
    <w:rsid w:val="00913A7A"/>
    <w:rsid w:val="00913D54"/>
    <w:rsid w:val="00913FAF"/>
    <w:rsid w:val="0091416B"/>
    <w:rsid w:val="009148C9"/>
    <w:rsid w:val="009149DF"/>
    <w:rsid w:val="009149EE"/>
    <w:rsid w:val="009154CD"/>
    <w:rsid w:val="009156F1"/>
    <w:rsid w:val="00915710"/>
    <w:rsid w:val="00916258"/>
    <w:rsid w:val="009162A8"/>
    <w:rsid w:val="00916363"/>
    <w:rsid w:val="00916565"/>
    <w:rsid w:val="00916631"/>
    <w:rsid w:val="00916686"/>
    <w:rsid w:val="00916778"/>
    <w:rsid w:val="00916D0F"/>
    <w:rsid w:val="00916D88"/>
    <w:rsid w:val="00916FAB"/>
    <w:rsid w:val="009176A6"/>
    <w:rsid w:val="00917746"/>
    <w:rsid w:val="00917A5E"/>
    <w:rsid w:val="00917DD1"/>
    <w:rsid w:val="00920AC8"/>
    <w:rsid w:val="00920CA5"/>
    <w:rsid w:val="0092100C"/>
    <w:rsid w:val="00921296"/>
    <w:rsid w:val="0092198C"/>
    <w:rsid w:val="00921CD1"/>
    <w:rsid w:val="00921D79"/>
    <w:rsid w:val="00921EDB"/>
    <w:rsid w:val="00922287"/>
    <w:rsid w:val="00922916"/>
    <w:rsid w:val="00922C79"/>
    <w:rsid w:val="00922D9C"/>
    <w:rsid w:val="0092398E"/>
    <w:rsid w:val="009239D3"/>
    <w:rsid w:val="00923FD7"/>
    <w:rsid w:val="00924701"/>
    <w:rsid w:val="00924BC5"/>
    <w:rsid w:val="00924EA7"/>
    <w:rsid w:val="00924F3F"/>
    <w:rsid w:val="00925C14"/>
    <w:rsid w:val="0092656A"/>
    <w:rsid w:val="00930632"/>
    <w:rsid w:val="0093077E"/>
    <w:rsid w:val="009307C8"/>
    <w:rsid w:val="00930A79"/>
    <w:rsid w:val="009313E3"/>
    <w:rsid w:val="00931547"/>
    <w:rsid w:val="00931867"/>
    <w:rsid w:val="00931B49"/>
    <w:rsid w:val="009323DF"/>
    <w:rsid w:val="009326C6"/>
    <w:rsid w:val="009328AD"/>
    <w:rsid w:val="0093292F"/>
    <w:rsid w:val="00932CCC"/>
    <w:rsid w:val="00932D37"/>
    <w:rsid w:val="00932E67"/>
    <w:rsid w:val="00932EDC"/>
    <w:rsid w:val="00932EF3"/>
    <w:rsid w:val="0093348B"/>
    <w:rsid w:val="0093359C"/>
    <w:rsid w:val="009335F2"/>
    <w:rsid w:val="00933686"/>
    <w:rsid w:val="00933874"/>
    <w:rsid w:val="00933A68"/>
    <w:rsid w:val="00933AC8"/>
    <w:rsid w:val="00933F0B"/>
    <w:rsid w:val="009342CF"/>
    <w:rsid w:val="0093483F"/>
    <w:rsid w:val="00935190"/>
    <w:rsid w:val="0093605E"/>
    <w:rsid w:val="00936250"/>
    <w:rsid w:val="0093650E"/>
    <w:rsid w:val="00936FED"/>
    <w:rsid w:val="009371DF"/>
    <w:rsid w:val="00940064"/>
    <w:rsid w:val="0094019F"/>
    <w:rsid w:val="00940B24"/>
    <w:rsid w:val="00941313"/>
    <w:rsid w:val="009414AC"/>
    <w:rsid w:val="00941AB8"/>
    <w:rsid w:val="00942B53"/>
    <w:rsid w:val="009439E3"/>
    <w:rsid w:val="00943BFA"/>
    <w:rsid w:val="00944906"/>
    <w:rsid w:val="00944CEF"/>
    <w:rsid w:val="00944DDB"/>
    <w:rsid w:val="0094505D"/>
    <w:rsid w:val="00945295"/>
    <w:rsid w:val="009456ED"/>
    <w:rsid w:val="00945B75"/>
    <w:rsid w:val="009462EF"/>
    <w:rsid w:val="00946433"/>
    <w:rsid w:val="0094662B"/>
    <w:rsid w:val="00946852"/>
    <w:rsid w:val="00946AF7"/>
    <w:rsid w:val="00947CC4"/>
    <w:rsid w:val="00947CDE"/>
    <w:rsid w:val="00947E0B"/>
    <w:rsid w:val="0095019A"/>
    <w:rsid w:val="00950948"/>
    <w:rsid w:val="00951584"/>
    <w:rsid w:val="00951958"/>
    <w:rsid w:val="00951D6F"/>
    <w:rsid w:val="00951E3B"/>
    <w:rsid w:val="00951ED6"/>
    <w:rsid w:val="00951F07"/>
    <w:rsid w:val="009521C6"/>
    <w:rsid w:val="009523EE"/>
    <w:rsid w:val="0095250B"/>
    <w:rsid w:val="009526F6"/>
    <w:rsid w:val="00952AE4"/>
    <w:rsid w:val="00952D64"/>
    <w:rsid w:val="00952E90"/>
    <w:rsid w:val="00952F71"/>
    <w:rsid w:val="0095345C"/>
    <w:rsid w:val="00953560"/>
    <w:rsid w:val="009535AA"/>
    <w:rsid w:val="00953A29"/>
    <w:rsid w:val="00953B76"/>
    <w:rsid w:val="00953F3B"/>
    <w:rsid w:val="009546C5"/>
    <w:rsid w:val="00954F08"/>
    <w:rsid w:val="009560D9"/>
    <w:rsid w:val="009568D7"/>
    <w:rsid w:val="00957470"/>
    <w:rsid w:val="009576CC"/>
    <w:rsid w:val="009577B2"/>
    <w:rsid w:val="0095781F"/>
    <w:rsid w:val="00960031"/>
    <w:rsid w:val="00960B2B"/>
    <w:rsid w:val="00960D0E"/>
    <w:rsid w:val="00960E86"/>
    <w:rsid w:val="009610DD"/>
    <w:rsid w:val="009612DC"/>
    <w:rsid w:val="00961633"/>
    <w:rsid w:val="00961963"/>
    <w:rsid w:val="00961A96"/>
    <w:rsid w:val="00961CB1"/>
    <w:rsid w:val="00961CB4"/>
    <w:rsid w:val="00961F97"/>
    <w:rsid w:val="00962459"/>
    <w:rsid w:val="00962688"/>
    <w:rsid w:val="00962A18"/>
    <w:rsid w:val="00962CC2"/>
    <w:rsid w:val="00962D75"/>
    <w:rsid w:val="00962DE6"/>
    <w:rsid w:val="009636B7"/>
    <w:rsid w:val="00963954"/>
    <w:rsid w:val="009639F0"/>
    <w:rsid w:val="00963B4E"/>
    <w:rsid w:val="00964CDE"/>
    <w:rsid w:val="00964DF1"/>
    <w:rsid w:val="00964F9A"/>
    <w:rsid w:val="0096523E"/>
    <w:rsid w:val="009668EA"/>
    <w:rsid w:val="00966B08"/>
    <w:rsid w:val="00966E26"/>
    <w:rsid w:val="00966EB5"/>
    <w:rsid w:val="00967108"/>
    <w:rsid w:val="0096745F"/>
    <w:rsid w:val="0096768D"/>
    <w:rsid w:val="0096770F"/>
    <w:rsid w:val="00967772"/>
    <w:rsid w:val="00967C30"/>
    <w:rsid w:val="00967D51"/>
    <w:rsid w:val="009706B7"/>
    <w:rsid w:val="00970832"/>
    <w:rsid w:val="00970C01"/>
    <w:rsid w:val="00970D04"/>
    <w:rsid w:val="0097192C"/>
    <w:rsid w:val="0097207E"/>
    <w:rsid w:val="0097215E"/>
    <w:rsid w:val="009723DF"/>
    <w:rsid w:val="0097267F"/>
    <w:rsid w:val="009727C6"/>
    <w:rsid w:val="009727D7"/>
    <w:rsid w:val="00972BA0"/>
    <w:rsid w:val="00972D30"/>
    <w:rsid w:val="00972E07"/>
    <w:rsid w:val="0097305F"/>
    <w:rsid w:val="009734EE"/>
    <w:rsid w:val="009736A0"/>
    <w:rsid w:val="00973D6F"/>
    <w:rsid w:val="0097420D"/>
    <w:rsid w:val="00974305"/>
    <w:rsid w:val="00974600"/>
    <w:rsid w:val="0097470E"/>
    <w:rsid w:val="00974755"/>
    <w:rsid w:val="00974ADB"/>
    <w:rsid w:val="00974E52"/>
    <w:rsid w:val="00974F32"/>
    <w:rsid w:val="00975391"/>
    <w:rsid w:val="009753BE"/>
    <w:rsid w:val="009755B0"/>
    <w:rsid w:val="00975717"/>
    <w:rsid w:val="0097582F"/>
    <w:rsid w:val="00975840"/>
    <w:rsid w:val="009758AC"/>
    <w:rsid w:val="00975D97"/>
    <w:rsid w:val="009761BB"/>
    <w:rsid w:val="0097664A"/>
    <w:rsid w:val="00976D9D"/>
    <w:rsid w:val="00976DCA"/>
    <w:rsid w:val="0098035C"/>
    <w:rsid w:val="00980558"/>
    <w:rsid w:val="009805C8"/>
    <w:rsid w:val="00980748"/>
    <w:rsid w:val="00980C52"/>
    <w:rsid w:val="00981600"/>
    <w:rsid w:val="00981C91"/>
    <w:rsid w:val="00981F65"/>
    <w:rsid w:val="0098313C"/>
    <w:rsid w:val="00983596"/>
    <w:rsid w:val="00983672"/>
    <w:rsid w:val="00983B3F"/>
    <w:rsid w:val="00983C83"/>
    <w:rsid w:val="00983F83"/>
    <w:rsid w:val="0098442E"/>
    <w:rsid w:val="00984485"/>
    <w:rsid w:val="0098473A"/>
    <w:rsid w:val="009847ED"/>
    <w:rsid w:val="00984C6C"/>
    <w:rsid w:val="00985005"/>
    <w:rsid w:val="00985473"/>
    <w:rsid w:val="00985697"/>
    <w:rsid w:val="00985760"/>
    <w:rsid w:val="009861D5"/>
    <w:rsid w:val="009862EA"/>
    <w:rsid w:val="00986496"/>
    <w:rsid w:val="00986E9F"/>
    <w:rsid w:val="0098742C"/>
    <w:rsid w:val="00987779"/>
    <w:rsid w:val="00987ECF"/>
    <w:rsid w:val="0099006D"/>
    <w:rsid w:val="00990132"/>
    <w:rsid w:val="009907CB"/>
    <w:rsid w:val="009909AD"/>
    <w:rsid w:val="00991696"/>
    <w:rsid w:val="009919FB"/>
    <w:rsid w:val="00991AA8"/>
    <w:rsid w:val="00991BEF"/>
    <w:rsid w:val="00991D47"/>
    <w:rsid w:val="00992280"/>
    <w:rsid w:val="00992409"/>
    <w:rsid w:val="00992485"/>
    <w:rsid w:val="009924F4"/>
    <w:rsid w:val="00992537"/>
    <w:rsid w:val="00992A54"/>
    <w:rsid w:val="00992FEF"/>
    <w:rsid w:val="0099303E"/>
    <w:rsid w:val="0099305E"/>
    <w:rsid w:val="00993492"/>
    <w:rsid w:val="00993797"/>
    <w:rsid w:val="00993A3C"/>
    <w:rsid w:val="00993D0E"/>
    <w:rsid w:val="0099419F"/>
    <w:rsid w:val="00994DBE"/>
    <w:rsid w:val="00995182"/>
    <w:rsid w:val="0099530E"/>
    <w:rsid w:val="00995601"/>
    <w:rsid w:val="00995770"/>
    <w:rsid w:val="009959C1"/>
    <w:rsid w:val="00995A9C"/>
    <w:rsid w:val="00995B5C"/>
    <w:rsid w:val="009963B9"/>
    <w:rsid w:val="009964D9"/>
    <w:rsid w:val="009967A3"/>
    <w:rsid w:val="00996E3F"/>
    <w:rsid w:val="00996ED6"/>
    <w:rsid w:val="0099757A"/>
    <w:rsid w:val="009976E3"/>
    <w:rsid w:val="00997968"/>
    <w:rsid w:val="009A042C"/>
    <w:rsid w:val="009A0564"/>
    <w:rsid w:val="009A0613"/>
    <w:rsid w:val="009A0C38"/>
    <w:rsid w:val="009A13ED"/>
    <w:rsid w:val="009A18EB"/>
    <w:rsid w:val="009A1E60"/>
    <w:rsid w:val="009A1EF3"/>
    <w:rsid w:val="009A1F57"/>
    <w:rsid w:val="009A22B7"/>
    <w:rsid w:val="009A2501"/>
    <w:rsid w:val="009A269F"/>
    <w:rsid w:val="009A28D1"/>
    <w:rsid w:val="009A2DBD"/>
    <w:rsid w:val="009A329D"/>
    <w:rsid w:val="009A35A9"/>
    <w:rsid w:val="009A379C"/>
    <w:rsid w:val="009A3E65"/>
    <w:rsid w:val="009A3FF1"/>
    <w:rsid w:val="009A4129"/>
    <w:rsid w:val="009A462B"/>
    <w:rsid w:val="009A471A"/>
    <w:rsid w:val="009A47D0"/>
    <w:rsid w:val="009A4861"/>
    <w:rsid w:val="009A516F"/>
    <w:rsid w:val="009A5720"/>
    <w:rsid w:val="009A5C09"/>
    <w:rsid w:val="009A5DF0"/>
    <w:rsid w:val="009A5FB1"/>
    <w:rsid w:val="009A6060"/>
    <w:rsid w:val="009A610C"/>
    <w:rsid w:val="009A6117"/>
    <w:rsid w:val="009A635D"/>
    <w:rsid w:val="009A652A"/>
    <w:rsid w:val="009A6A1E"/>
    <w:rsid w:val="009A6C8B"/>
    <w:rsid w:val="009A7B2F"/>
    <w:rsid w:val="009B0711"/>
    <w:rsid w:val="009B092D"/>
    <w:rsid w:val="009B1157"/>
    <w:rsid w:val="009B1821"/>
    <w:rsid w:val="009B1BFF"/>
    <w:rsid w:val="009B22B5"/>
    <w:rsid w:val="009B2336"/>
    <w:rsid w:val="009B27C4"/>
    <w:rsid w:val="009B29D5"/>
    <w:rsid w:val="009B2AB7"/>
    <w:rsid w:val="009B2D25"/>
    <w:rsid w:val="009B2E63"/>
    <w:rsid w:val="009B3297"/>
    <w:rsid w:val="009B381C"/>
    <w:rsid w:val="009B3A60"/>
    <w:rsid w:val="009B421B"/>
    <w:rsid w:val="009B423B"/>
    <w:rsid w:val="009B462F"/>
    <w:rsid w:val="009B4865"/>
    <w:rsid w:val="009B4C85"/>
    <w:rsid w:val="009B4E8C"/>
    <w:rsid w:val="009B4FAF"/>
    <w:rsid w:val="009B56F2"/>
    <w:rsid w:val="009B59B4"/>
    <w:rsid w:val="009B6C43"/>
    <w:rsid w:val="009B6F1D"/>
    <w:rsid w:val="009B7082"/>
    <w:rsid w:val="009B726C"/>
    <w:rsid w:val="009B7568"/>
    <w:rsid w:val="009B7878"/>
    <w:rsid w:val="009B78CB"/>
    <w:rsid w:val="009B7AC0"/>
    <w:rsid w:val="009B7CB9"/>
    <w:rsid w:val="009C0889"/>
    <w:rsid w:val="009C0A3B"/>
    <w:rsid w:val="009C0B81"/>
    <w:rsid w:val="009C0EFF"/>
    <w:rsid w:val="009C0F28"/>
    <w:rsid w:val="009C1532"/>
    <w:rsid w:val="009C254E"/>
    <w:rsid w:val="009C2AD8"/>
    <w:rsid w:val="009C2F37"/>
    <w:rsid w:val="009C2FAA"/>
    <w:rsid w:val="009C2FFE"/>
    <w:rsid w:val="009C3934"/>
    <w:rsid w:val="009C3AA5"/>
    <w:rsid w:val="009C4455"/>
    <w:rsid w:val="009C46F0"/>
    <w:rsid w:val="009C4A0B"/>
    <w:rsid w:val="009C4A8D"/>
    <w:rsid w:val="009C4C65"/>
    <w:rsid w:val="009C4F0F"/>
    <w:rsid w:val="009C4FA8"/>
    <w:rsid w:val="009C529D"/>
    <w:rsid w:val="009C54F0"/>
    <w:rsid w:val="009C553A"/>
    <w:rsid w:val="009C58C1"/>
    <w:rsid w:val="009C59FF"/>
    <w:rsid w:val="009C5B47"/>
    <w:rsid w:val="009C5C88"/>
    <w:rsid w:val="009C6337"/>
    <w:rsid w:val="009C6365"/>
    <w:rsid w:val="009C641A"/>
    <w:rsid w:val="009C6651"/>
    <w:rsid w:val="009C6734"/>
    <w:rsid w:val="009C6AD0"/>
    <w:rsid w:val="009C6B25"/>
    <w:rsid w:val="009C7196"/>
    <w:rsid w:val="009C798E"/>
    <w:rsid w:val="009C7D11"/>
    <w:rsid w:val="009D06B9"/>
    <w:rsid w:val="009D08B2"/>
    <w:rsid w:val="009D0903"/>
    <w:rsid w:val="009D0CFE"/>
    <w:rsid w:val="009D0E80"/>
    <w:rsid w:val="009D1851"/>
    <w:rsid w:val="009D18C3"/>
    <w:rsid w:val="009D1F01"/>
    <w:rsid w:val="009D1F88"/>
    <w:rsid w:val="009D22A5"/>
    <w:rsid w:val="009D266E"/>
    <w:rsid w:val="009D268B"/>
    <w:rsid w:val="009D2865"/>
    <w:rsid w:val="009D3481"/>
    <w:rsid w:val="009D3DA5"/>
    <w:rsid w:val="009D53B1"/>
    <w:rsid w:val="009D59FD"/>
    <w:rsid w:val="009D5AF7"/>
    <w:rsid w:val="009D6949"/>
    <w:rsid w:val="009D6AD7"/>
    <w:rsid w:val="009D6D9E"/>
    <w:rsid w:val="009D6E66"/>
    <w:rsid w:val="009D6EA5"/>
    <w:rsid w:val="009D7481"/>
    <w:rsid w:val="009D7AB6"/>
    <w:rsid w:val="009E0312"/>
    <w:rsid w:val="009E0477"/>
    <w:rsid w:val="009E080A"/>
    <w:rsid w:val="009E0C0D"/>
    <w:rsid w:val="009E1672"/>
    <w:rsid w:val="009E1698"/>
    <w:rsid w:val="009E1763"/>
    <w:rsid w:val="009E2093"/>
    <w:rsid w:val="009E23E0"/>
    <w:rsid w:val="009E28CE"/>
    <w:rsid w:val="009E2920"/>
    <w:rsid w:val="009E2963"/>
    <w:rsid w:val="009E2E46"/>
    <w:rsid w:val="009E2F4A"/>
    <w:rsid w:val="009E33D1"/>
    <w:rsid w:val="009E3842"/>
    <w:rsid w:val="009E3AD6"/>
    <w:rsid w:val="009E3D35"/>
    <w:rsid w:val="009E3ECD"/>
    <w:rsid w:val="009E434D"/>
    <w:rsid w:val="009E4D96"/>
    <w:rsid w:val="009E4E70"/>
    <w:rsid w:val="009E551C"/>
    <w:rsid w:val="009E55D5"/>
    <w:rsid w:val="009E575C"/>
    <w:rsid w:val="009E6154"/>
    <w:rsid w:val="009E6C6B"/>
    <w:rsid w:val="009E70D4"/>
    <w:rsid w:val="009E71AB"/>
    <w:rsid w:val="009E7309"/>
    <w:rsid w:val="009E7BD4"/>
    <w:rsid w:val="009E7FB8"/>
    <w:rsid w:val="009F00BC"/>
    <w:rsid w:val="009F0254"/>
    <w:rsid w:val="009F03AE"/>
    <w:rsid w:val="009F09DD"/>
    <w:rsid w:val="009F0D31"/>
    <w:rsid w:val="009F0E12"/>
    <w:rsid w:val="009F0FC5"/>
    <w:rsid w:val="009F15C7"/>
    <w:rsid w:val="009F189F"/>
    <w:rsid w:val="009F1DC6"/>
    <w:rsid w:val="009F2501"/>
    <w:rsid w:val="009F274B"/>
    <w:rsid w:val="009F2873"/>
    <w:rsid w:val="009F3089"/>
    <w:rsid w:val="009F3179"/>
    <w:rsid w:val="009F3199"/>
    <w:rsid w:val="009F31A9"/>
    <w:rsid w:val="009F382D"/>
    <w:rsid w:val="009F3897"/>
    <w:rsid w:val="009F4467"/>
    <w:rsid w:val="009F4468"/>
    <w:rsid w:val="009F4A35"/>
    <w:rsid w:val="009F4B50"/>
    <w:rsid w:val="009F4D4A"/>
    <w:rsid w:val="009F4E38"/>
    <w:rsid w:val="009F4F12"/>
    <w:rsid w:val="009F5193"/>
    <w:rsid w:val="009F53A7"/>
    <w:rsid w:val="009F53FB"/>
    <w:rsid w:val="009F55CD"/>
    <w:rsid w:val="009F5798"/>
    <w:rsid w:val="009F5B6E"/>
    <w:rsid w:val="009F6204"/>
    <w:rsid w:val="009F6338"/>
    <w:rsid w:val="009F71D8"/>
    <w:rsid w:val="009F7AF4"/>
    <w:rsid w:val="009F7DFA"/>
    <w:rsid w:val="00A00229"/>
    <w:rsid w:val="00A003E5"/>
    <w:rsid w:val="00A00A35"/>
    <w:rsid w:val="00A00AAC"/>
    <w:rsid w:val="00A00EEF"/>
    <w:rsid w:val="00A01182"/>
    <w:rsid w:val="00A013F2"/>
    <w:rsid w:val="00A01530"/>
    <w:rsid w:val="00A018A0"/>
    <w:rsid w:val="00A019BE"/>
    <w:rsid w:val="00A01D32"/>
    <w:rsid w:val="00A02064"/>
    <w:rsid w:val="00A02549"/>
    <w:rsid w:val="00A028D0"/>
    <w:rsid w:val="00A0297F"/>
    <w:rsid w:val="00A02D24"/>
    <w:rsid w:val="00A03615"/>
    <w:rsid w:val="00A04706"/>
    <w:rsid w:val="00A0498D"/>
    <w:rsid w:val="00A05784"/>
    <w:rsid w:val="00A05859"/>
    <w:rsid w:val="00A0588C"/>
    <w:rsid w:val="00A058A2"/>
    <w:rsid w:val="00A05DBE"/>
    <w:rsid w:val="00A05EAB"/>
    <w:rsid w:val="00A0645D"/>
    <w:rsid w:val="00A06613"/>
    <w:rsid w:val="00A067AE"/>
    <w:rsid w:val="00A0680B"/>
    <w:rsid w:val="00A06DA4"/>
    <w:rsid w:val="00A06DCE"/>
    <w:rsid w:val="00A0796F"/>
    <w:rsid w:val="00A07E73"/>
    <w:rsid w:val="00A100C2"/>
    <w:rsid w:val="00A100C7"/>
    <w:rsid w:val="00A103AC"/>
    <w:rsid w:val="00A104F1"/>
    <w:rsid w:val="00A10774"/>
    <w:rsid w:val="00A108F9"/>
    <w:rsid w:val="00A10B21"/>
    <w:rsid w:val="00A11412"/>
    <w:rsid w:val="00A11428"/>
    <w:rsid w:val="00A114AC"/>
    <w:rsid w:val="00A117F9"/>
    <w:rsid w:val="00A11833"/>
    <w:rsid w:val="00A11D40"/>
    <w:rsid w:val="00A11E50"/>
    <w:rsid w:val="00A11FA2"/>
    <w:rsid w:val="00A140C9"/>
    <w:rsid w:val="00A14122"/>
    <w:rsid w:val="00A14631"/>
    <w:rsid w:val="00A14A6E"/>
    <w:rsid w:val="00A14AA1"/>
    <w:rsid w:val="00A14D3B"/>
    <w:rsid w:val="00A14DD7"/>
    <w:rsid w:val="00A14E0E"/>
    <w:rsid w:val="00A14FE9"/>
    <w:rsid w:val="00A1501F"/>
    <w:rsid w:val="00A150EC"/>
    <w:rsid w:val="00A15468"/>
    <w:rsid w:val="00A15E9C"/>
    <w:rsid w:val="00A16198"/>
    <w:rsid w:val="00A1672F"/>
    <w:rsid w:val="00A16D02"/>
    <w:rsid w:val="00A16D31"/>
    <w:rsid w:val="00A16D77"/>
    <w:rsid w:val="00A16E52"/>
    <w:rsid w:val="00A16E8B"/>
    <w:rsid w:val="00A170B7"/>
    <w:rsid w:val="00A173E5"/>
    <w:rsid w:val="00A179D4"/>
    <w:rsid w:val="00A17A72"/>
    <w:rsid w:val="00A17C16"/>
    <w:rsid w:val="00A17DF9"/>
    <w:rsid w:val="00A20777"/>
    <w:rsid w:val="00A2097E"/>
    <w:rsid w:val="00A20AEC"/>
    <w:rsid w:val="00A20EA3"/>
    <w:rsid w:val="00A2143F"/>
    <w:rsid w:val="00A2156B"/>
    <w:rsid w:val="00A21676"/>
    <w:rsid w:val="00A216A8"/>
    <w:rsid w:val="00A2172D"/>
    <w:rsid w:val="00A21844"/>
    <w:rsid w:val="00A22188"/>
    <w:rsid w:val="00A225B9"/>
    <w:rsid w:val="00A2263C"/>
    <w:rsid w:val="00A22CCB"/>
    <w:rsid w:val="00A22EE5"/>
    <w:rsid w:val="00A2403B"/>
    <w:rsid w:val="00A246D8"/>
    <w:rsid w:val="00A2520F"/>
    <w:rsid w:val="00A265C9"/>
    <w:rsid w:val="00A267E9"/>
    <w:rsid w:val="00A26826"/>
    <w:rsid w:val="00A2688B"/>
    <w:rsid w:val="00A268A6"/>
    <w:rsid w:val="00A26922"/>
    <w:rsid w:val="00A27048"/>
    <w:rsid w:val="00A2747F"/>
    <w:rsid w:val="00A274D7"/>
    <w:rsid w:val="00A30264"/>
    <w:rsid w:val="00A3070F"/>
    <w:rsid w:val="00A30965"/>
    <w:rsid w:val="00A30B52"/>
    <w:rsid w:val="00A312CB"/>
    <w:rsid w:val="00A3156B"/>
    <w:rsid w:val="00A31673"/>
    <w:rsid w:val="00A31FE9"/>
    <w:rsid w:val="00A32002"/>
    <w:rsid w:val="00A320B6"/>
    <w:rsid w:val="00A320EC"/>
    <w:rsid w:val="00A32805"/>
    <w:rsid w:val="00A32847"/>
    <w:rsid w:val="00A32A85"/>
    <w:rsid w:val="00A32B3A"/>
    <w:rsid w:val="00A32B6B"/>
    <w:rsid w:val="00A32D15"/>
    <w:rsid w:val="00A3374F"/>
    <w:rsid w:val="00A3379A"/>
    <w:rsid w:val="00A337FF"/>
    <w:rsid w:val="00A33B45"/>
    <w:rsid w:val="00A33C6A"/>
    <w:rsid w:val="00A341D9"/>
    <w:rsid w:val="00A34C7E"/>
    <w:rsid w:val="00A34D99"/>
    <w:rsid w:val="00A3506B"/>
    <w:rsid w:val="00A35FB8"/>
    <w:rsid w:val="00A3610F"/>
    <w:rsid w:val="00A362EE"/>
    <w:rsid w:val="00A365AD"/>
    <w:rsid w:val="00A369A0"/>
    <w:rsid w:val="00A3758E"/>
    <w:rsid w:val="00A37B2A"/>
    <w:rsid w:val="00A37C8D"/>
    <w:rsid w:val="00A37F99"/>
    <w:rsid w:val="00A404E6"/>
    <w:rsid w:val="00A405A2"/>
    <w:rsid w:val="00A408D4"/>
    <w:rsid w:val="00A40BF4"/>
    <w:rsid w:val="00A40C77"/>
    <w:rsid w:val="00A40CD8"/>
    <w:rsid w:val="00A41139"/>
    <w:rsid w:val="00A41700"/>
    <w:rsid w:val="00A41BA1"/>
    <w:rsid w:val="00A41F21"/>
    <w:rsid w:val="00A423E0"/>
    <w:rsid w:val="00A42769"/>
    <w:rsid w:val="00A42D0A"/>
    <w:rsid w:val="00A434D7"/>
    <w:rsid w:val="00A43972"/>
    <w:rsid w:val="00A44361"/>
    <w:rsid w:val="00A447CE"/>
    <w:rsid w:val="00A44954"/>
    <w:rsid w:val="00A449CF"/>
    <w:rsid w:val="00A44D00"/>
    <w:rsid w:val="00A44EF6"/>
    <w:rsid w:val="00A45289"/>
    <w:rsid w:val="00A457D1"/>
    <w:rsid w:val="00A45B06"/>
    <w:rsid w:val="00A45D8D"/>
    <w:rsid w:val="00A461AA"/>
    <w:rsid w:val="00A46478"/>
    <w:rsid w:val="00A46E73"/>
    <w:rsid w:val="00A470A6"/>
    <w:rsid w:val="00A473CB"/>
    <w:rsid w:val="00A4742F"/>
    <w:rsid w:val="00A4754B"/>
    <w:rsid w:val="00A47BCE"/>
    <w:rsid w:val="00A500DC"/>
    <w:rsid w:val="00A501A9"/>
    <w:rsid w:val="00A50277"/>
    <w:rsid w:val="00A503BF"/>
    <w:rsid w:val="00A5067E"/>
    <w:rsid w:val="00A507C9"/>
    <w:rsid w:val="00A50955"/>
    <w:rsid w:val="00A509B6"/>
    <w:rsid w:val="00A50DAD"/>
    <w:rsid w:val="00A50F72"/>
    <w:rsid w:val="00A512C2"/>
    <w:rsid w:val="00A51639"/>
    <w:rsid w:val="00A52039"/>
    <w:rsid w:val="00A521FC"/>
    <w:rsid w:val="00A52732"/>
    <w:rsid w:val="00A52EEA"/>
    <w:rsid w:val="00A52F25"/>
    <w:rsid w:val="00A534F0"/>
    <w:rsid w:val="00A53D59"/>
    <w:rsid w:val="00A53F7C"/>
    <w:rsid w:val="00A54060"/>
    <w:rsid w:val="00A54169"/>
    <w:rsid w:val="00A54288"/>
    <w:rsid w:val="00A54316"/>
    <w:rsid w:val="00A54B8F"/>
    <w:rsid w:val="00A54E57"/>
    <w:rsid w:val="00A5508E"/>
    <w:rsid w:val="00A550B2"/>
    <w:rsid w:val="00A5516B"/>
    <w:rsid w:val="00A552DF"/>
    <w:rsid w:val="00A55326"/>
    <w:rsid w:val="00A55414"/>
    <w:rsid w:val="00A55876"/>
    <w:rsid w:val="00A55915"/>
    <w:rsid w:val="00A569D2"/>
    <w:rsid w:val="00A56B74"/>
    <w:rsid w:val="00A56D58"/>
    <w:rsid w:val="00A56DBE"/>
    <w:rsid w:val="00A56ED9"/>
    <w:rsid w:val="00A57492"/>
    <w:rsid w:val="00A5754E"/>
    <w:rsid w:val="00A57B10"/>
    <w:rsid w:val="00A6085F"/>
    <w:rsid w:val="00A60948"/>
    <w:rsid w:val="00A61394"/>
    <w:rsid w:val="00A61552"/>
    <w:rsid w:val="00A61BAD"/>
    <w:rsid w:val="00A61D99"/>
    <w:rsid w:val="00A61DA3"/>
    <w:rsid w:val="00A61F5A"/>
    <w:rsid w:val="00A61FB2"/>
    <w:rsid w:val="00A622EF"/>
    <w:rsid w:val="00A62F16"/>
    <w:rsid w:val="00A63346"/>
    <w:rsid w:val="00A633B5"/>
    <w:rsid w:val="00A635BD"/>
    <w:rsid w:val="00A63BD4"/>
    <w:rsid w:val="00A63F85"/>
    <w:rsid w:val="00A64298"/>
    <w:rsid w:val="00A64402"/>
    <w:rsid w:val="00A64585"/>
    <w:rsid w:val="00A648AE"/>
    <w:rsid w:val="00A64F00"/>
    <w:rsid w:val="00A658E0"/>
    <w:rsid w:val="00A65BD9"/>
    <w:rsid w:val="00A664C3"/>
    <w:rsid w:val="00A669C7"/>
    <w:rsid w:val="00A66B81"/>
    <w:rsid w:val="00A6717C"/>
    <w:rsid w:val="00A671A7"/>
    <w:rsid w:val="00A67798"/>
    <w:rsid w:val="00A677C4"/>
    <w:rsid w:val="00A7034A"/>
    <w:rsid w:val="00A70AC9"/>
    <w:rsid w:val="00A70B8D"/>
    <w:rsid w:val="00A70E73"/>
    <w:rsid w:val="00A7114C"/>
    <w:rsid w:val="00A71336"/>
    <w:rsid w:val="00A7173C"/>
    <w:rsid w:val="00A7183C"/>
    <w:rsid w:val="00A71CD8"/>
    <w:rsid w:val="00A71FA2"/>
    <w:rsid w:val="00A721EC"/>
    <w:rsid w:val="00A72213"/>
    <w:rsid w:val="00A724B4"/>
    <w:rsid w:val="00A72B94"/>
    <w:rsid w:val="00A73323"/>
    <w:rsid w:val="00A73325"/>
    <w:rsid w:val="00A73507"/>
    <w:rsid w:val="00A74B62"/>
    <w:rsid w:val="00A74F51"/>
    <w:rsid w:val="00A7511A"/>
    <w:rsid w:val="00A75286"/>
    <w:rsid w:val="00A75E1D"/>
    <w:rsid w:val="00A75EBC"/>
    <w:rsid w:val="00A76220"/>
    <w:rsid w:val="00A76527"/>
    <w:rsid w:val="00A76BFF"/>
    <w:rsid w:val="00A80516"/>
    <w:rsid w:val="00A80F92"/>
    <w:rsid w:val="00A8151A"/>
    <w:rsid w:val="00A8172C"/>
    <w:rsid w:val="00A818B8"/>
    <w:rsid w:val="00A81CA1"/>
    <w:rsid w:val="00A822F5"/>
    <w:rsid w:val="00A826E0"/>
    <w:rsid w:val="00A828DC"/>
    <w:rsid w:val="00A82A0A"/>
    <w:rsid w:val="00A82B7F"/>
    <w:rsid w:val="00A832CA"/>
    <w:rsid w:val="00A8347E"/>
    <w:rsid w:val="00A835EB"/>
    <w:rsid w:val="00A83FBF"/>
    <w:rsid w:val="00A8438B"/>
    <w:rsid w:val="00A847E4"/>
    <w:rsid w:val="00A8484B"/>
    <w:rsid w:val="00A848D7"/>
    <w:rsid w:val="00A8496F"/>
    <w:rsid w:val="00A851C3"/>
    <w:rsid w:val="00A852FE"/>
    <w:rsid w:val="00A85589"/>
    <w:rsid w:val="00A858ED"/>
    <w:rsid w:val="00A859F0"/>
    <w:rsid w:val="00A85A40"/>
    <w:rsid w:val="00A861DB"/>
    <w:rsid w:val="00A8632C"/>
    <w:rsid w:val="00A8632E"/>
    <w:rsid w:val="00A86914"/>
    <w:rsid w:val="00A86CEB"/>
    <w:rsid w:val="00A86CEE"/>
    <w:rsid w:val="00A86D4F"/>
    <w:rsid w:val="00A86E74"/>
    <w:rsid w:val="00A8727E"/>
    <w:rsid w:val="00A8744D"/>
    <w:rsid w:val="00A87C09"/>
    <w:rsid w:val="00A87D44"/>
    <w:rsid w:val="00A87F30"/>
    <w:rsid w:val="00A902E2"/>
    <w:rsid w:val="00A90300"/>
    <w:rsid w:val="00A903AC"/>
    <w:rsid w:val="00A90785"/>
    <w:rsid w:val="00A90A0A"/>
    <w:rsid w:val="00A90F9B"/>
    <w:rsid w:val="00A91123"/>
    <w:rsid w:val="00A917B3"/>
    <w:rsid w:val="00A918B8"/>
    <w:rsid w:val="00A91D30"/>
    <w:rsid w:val="00A91E29"/>
    <w:rsid w:val="00A92119"/>
    <w:rsid w:val="00A92300"/>
    <w:rsid w:val="00A927FA"/>
    <w:rsid w:val="00A9296F"/>
    <w:rsid w:val="00A930A7"/>
    <w:rsid w:val="00A93B0E"/>
    <w:rsid w:val="00A93CEF"/>
    <w:rsid w:val="00A93D64"/>
    <w:rsid w:val="00A93F2C"/>
    <w:rsid w:val="00A94687"/>
    <w:rsid w:val="00A94E60"/>
    <w:rsid w:val="00A94F0D"/>
    <w:rsid w:val="00A9509E"/>
    <w:rsid w:val="00A9532C"/>
    <w:rsid w:val="00A953F8"/>
    <w:rsid w:val="00A95BAC"/>
    <w:rsid w:val="00A96489"/>
    <w:rsid w:val="00A9688F"/>
    <w:rsid w:val="00A96C98"/>
    <w:rsid w:val="00A97598"/>
    <w:rsid w:val="00AA066F"/>
    <w:rsid w:val="00AA094F"/>
    <w:rsid w:val="00AA0BA5"/>
    <w:rsid w:val="00AA1059"/>
    <w:rsid w:val="00AA1092"/>
    <w:rsid w:val="00AA138A"/>
    <w:rsid w:val="00AA15D5"/>
    <w:rsid w:val="00AA1839"/>
    <w:rsid w:val="00AA19FE"/>
    <w:rsid w:val="00AA1EDF"/>
    <w:rsid w:val="00AA20D8"/>
    <w:rsid w:val="00AA21A9"/>
    <w:rsid w:val="00AA26F8"/>
    <w:rsid w:val="00AA2DC9"/>
    <w:rsid w:val="00AA3285"/>
    <w:rsid w:val="00AA331B"/>
    <w:rsid w:val="00AA341A"/>
    <w:rsid w:val="00AA3773"/>
    <w:rsid w:val="00AA38DD"/>
    <w:rsid w:val="00AA3A47"/>
    <w:rsid w:val="00AA46C1"/>
    <w:rsid w:val="00AA5FEE"/>
    <w:rsid w:val="00AA644E"/>
    <w:rsid w:val="00AA6688"/>
    <w:rsid w:val="00AA68B0"/>
    <w:rsid w:val="00AA6A27"/>
    <w:rsid w:val="00AA7143"/>
    <w:rsid w:val="00AA7313"/>
    <w:rsid w:val="00AA736F"/>
    <w:rsid w:val="00AA764E"/>
    <w:rsid w:val="00AA7DC4"/>
    <w:rsid w:val="00AA7EB6"/>
    <w:rsid w:val="00AA7F45"/>
    <w:rsid w:val="00AB01BB"/>
    <w:rsid w:val="00AB06E1"/>
    <w:rsid w:val="00AB092A"/>
    <w:rsid w:val="00AB0A0C"/>
    <w:rsid w:val="00AB0AF4"/>
    <w:rsid w:val="00AB0EDA"/>
    <w:rsid w:val="00AB11E4"/>
    <w:rsid w:val="00AB1622"/>
    <w:rsid w:val="00AB16B8"/>
    <w:rsid w:val="00AB19F3"/>
    <w:rsid w:val="00AB1DD9"/>
    <w:rsid w:val="00AB2138"/>
    <w:rsid w:val="00AB2A8F"/>
    <w:rsid w:val="00AB2B74"/>
    <w:rsid w:val="00AB2CAD"/>
    <w:rsid w:val="00AB2DAB"/>
    <w:rsid w:val="00AB333A"/>
    <w:rsid w:val="00AB3BCB"/>
    <w:rsid w:val="00AB4164"/>
    <w:rsid w:val="00AB4541"/>
    <w:rsid w:val="00AB4648"/>
    <w:rsid w:val="00AB4D4B"/>
    <w:rsid w:val="00AB52C7"/>
    <w:rsid w:val="00AB5C33"/>
    <w:rsid w:val="00AB600A"/>
    <w:rsid w:val="00AB6974"/>
    <w:rsid w:val="00AB6E06"/>
    <w:rsid w:val="00AB6E4B"/>
    <w:rsid w:val="00AB701D"/>
    <w:rsid w:val="00AB7129"/>
    <w:rsid w:val="00AB735F"/>
    <w:rsid w:val="00AB74EF"/>
    <w:rsid w:val="00AB779E"/>
    <w:rsid w:val="00AB7C71"/>
    <w:rsid w:val="00AB7EA2"/>
    <w:rsid w:val="00AC0D83"/>
    <w:rsid w:val="00AC0FAC"/>
    <w:rsid w:val="00AC12D2"/>
    <w:rsid w:val="00AC12F9"/>
    <w:rsid w:val="00AC142E"/>
    <w:rsid w:val="00AC156A"/>
    <w:rsid w:val="00AC2871"/>
    <w:rsid w:val="00AC2AB3"/>
    <w:rsid w:val="00AC2CFB"/>
    <w:rsid w:val="00AC3B47"/>
    <w:rsid w:val="00AC4212"/>
    <w:rsid w:val="00AC4314"/>
    <w:rsid w:val="00AC43B1"/>
    <w:rsid w:val="00AC440D"/>
    <w:rsid w:val="00AC4629"/>
    <w:rsid w:val="00AC466B"/>
    <w:rsid w:val="00AC46DB"/>
    <w:rsid w:val="00AC4CED"/>
    <w:rsid w:val="00AC509A"/>
    <w:rsid w:val="00AC5259"/>
    <w:rsid w:val="00AC5BA3"/>
    <w:rsid w:val="00AC5CD0"/>
    <w:rsid w:val="00AC5DF6"/>
    <w:rsid w:val="00AC5F95"/>
    <w:rsid w:val="00AC67E8"/>
    <w:rsid w:val="00AC6C83"/>
    <w:rsid w:val="00AC6C8B"/>
    <w:rsid w:val="00AC6CBF"/>
    <w:rsid w:val="00AC7332"/>
    <w:rsid w:val="00AC7400"/>
    <w:rsid w:val="00AC775C"/>
    <w:rsid w:val="00AC7BFF"/>
    <w:rsid w:val="00AC7C08"/>
    <w:rsid w:val="00AC7DA3"/>
    <w:rsid w:val="00AD000D"/>
    <w:rsid w:val="00AD023D"/>
    <w:rsid w:val="00AD0538"/>
    <w:rsid w:val="00AD05B5"/>
    <w:rsid w:val="00AD08FF"/>
    <w:rsid w:val="00AD0AE8"/>
    <w:rsid w:val="00AD10B0"/>
    <w:rsid w:val="00AD12BB"/>
    <w:rsid w:val="00AD1894"/>
    <w:rsid w:val="00AD1CEE"/>
    <w:rsid w:val="00AD2076"/>
    <w:rsid w:val="00AD2516"/>
    <w:rsid w:val="00AD2924"/>
    <w:rsid w:val="00AD2D4D"/>
    <w:rsid w:val="00AD305E"/>
    <w:rsid w:val="00AD3280"/>
    <w:rsid w:val="00AD3359"/>
    <w:rsid w:val="00AD341D"/>
    <w:rsid w:val="00AD3A27"/>
    <w:rsid w:val="00AD3E8B"/>
    <w:rsid w:val="00AD40B9"/>
    <w:rsid w:val="00AD47E1"/>
    <w:rsid w:val="00AD58A5"/>
    <w:rsid w:val="00AD592F"/>
    <w:rsid w:val="00AD5B45"/>
    <w:rsid w:val="00AD5BB0"/>
    <w:rsid w:val="00AD5BCF"/>
    <w:rsid w:val="00AD5C69"/>
    <w:rsid w:val="00AD611C"/>
    <w:rsid w:val="00AD6219"/>
    <w:rsid w:val="00AD62E6"/>
    <w:rsid w:val="00AD6341"/>
    <w:rsid w:val="00AD662E"/>
    <w:rsid w:val="00AD6733"/>
    <w:rsid w:val="00AD67B2"/>
    <w:rsid w:val="00AD7527"/>
    <w:rsid w:val="00AD7EFA"/>
    <w:rsid w:val="00AE0058"/>
    <w:rsid w:val="00AE0143"/>
    <w:rsid w:val="00AE03CE"/>
    <w:rsid w:val="00AE0505"/>
    <w:rsid w:val="00AE0616"/>
    <w:rsid w:val="00AE072C"/>
    <w:rsid w:val="00AE07C4"/>
    <w:rsid w:val="00AE0EBE"/>
    <w:rsid w:val="00AE10F4"/>
    <w:rsid w:val="00AE1D50"/>
    <w:rsid w:val="00AE1FD5"/>
    <w:rsid w:val="00AE22EC"/>
    <w:rsid w:val="00AE24D4"/>
    <w:rsid w:val="00AE3308"/>
    <w:rsid w:val="00AE3577"/>
    <w:rsid w:val="00AE3585"/>
    <w:rsid w:val="00AE3C8F"/>
    <w:rsid w:val="00AE4008"/>
    <w:rsid w:val="00AE438E"/>
    <w:rsid w:val="00AE43C1"/>
    <w:rsid w:val="00AE47D1"/>
    <w:rsid w:val="00AE481D"/>
    <w:rsid w:val="00AE4FF2"/>
    <w:rsid w:val="00AE5097"/>
    <w:rsid w:val="00AE57E6"/>
    <w:rsid w:val="00AE5C95"/>
    <w:rsid w:val="00AE5FB4"/>
    <w:rsid w:val="00AE6252"/>
    <w:rsid w:val="00AE63D4"/>
    <w:rsid w:val="00AE6521"/>
    <w:rsid w:val="00AE68A5"/>
    <w:rsid w:val="00AE6CEA"/>
    <w:rsid w:val="00AE70D6"/>
    <w:rsid w:val="00AE7131"/>
    <w:rsid w:val="00AE77B9"/>
    <w:rsid w:val="00AE7E21"/>
    <w:rsid w:val="00AF0345"/>
    <w:rsid w:val="00AF0D27"/>
    <w:rsid w:val="00AF1172"/>
    <w:rsid w:val="00AF14E6"/>
    <w:rsid w:val="00AF1B44"/>
    <w:rsid w:val="00AF1E0B"/>
    <w:rsid w:val="00AF1F84"/>
    <w:rsid w:val="00AF205E"/>
    <w:rsid w:val="00AF21A4"/>
    <w:rsid w:val="00AF2329"/>
    <w:rsid w:val="00AF27D0"/>
    <w:rsid w:val="00AF2982"/>
    <w:rsid w:val="00AF2A4F"/>
    <w:rsid w:val="00AF2EE9"/>
    <w:rsid w:val="00AF3224"/>
    <w:rsid w:val="00AF3379"/>
    <w:rsid w:val="00AF3672"/>
    <w:rsid w:val="00AF3886"/>
    <w:rsid w:val="00AF3E9E"/>
    <w:rsid w:val="00AF4125"/>
    <w:rsid w:val="00AF4208"/>
    <w:rsid w:val="00AF548F"/>
    <w:rsid w:val="00AF5A05"/>
    <w:rsid w:val="00AF5E63"/>
    <w:rsid w:val="00AF5E88"/>
    <w:rsid w:val="00AF5FBB"/>
    <w:rsid w:val="00AF65C2"/>
    <w:rsid w:val="00AF6B7C"/>
    <w:rsid w:val="00AF700F"/>
    <w:rsid w:val="00AF7A25"/>
    <w:rsid w:val="00B00072"/>
    <w:rsid w:val="00B00969"/>
    <w:rsid w:val="00B00CA5"/>
    <w:rsid w:val="00B00D87"/>
    <w:rsid w:val="00B00E35"/>
    <w:rsid w:val="00B012A4"/>
    <w:rsid w:val="00B01512"/>
    <w:rsid w:val="00B017C7"/>
    <w:rsid w:val="00B01B12"/>
    <w:rsid w:val="00B01B3A"/>
    <w:rsid w:val="00B01EA4"/>
    <w:rsid w:val="00B0262E"/>
    <w:rsid w:val="00B026D9"/>
    <w:rsid w:val="00B02E16"/>
    <w:rsid w:val="00B02F61"/>
    <w:rsid w:val="00B02FFB"/>
    <w:rsid w:val="00B033FB"/>
    <w:rsid w:val="00B03484"/>
    <w:rsid w:val="00B0357F"/>
    <w:rsid w:val="00B039B2"/>
    <w:rsid w:val="00B041A3"/>
    <w:rsid w:val="00B047AC"/>
    <w:rsid w:val="00B04E1A"/>
    <w:rsid w:val="00B0545F"/>
    <w:rsid w:val="00B05470"/>
    <w:rsid w:val="00B05972"/>
    <w:rsid w:val="00B05A3B"/>
    <w:rsid w:val="00B0646E"/>
    <w:rsid w:val="00B06B42"/>
    <w:rsid w:val="00B070C2"/>
    <w:rsid w:val="00B07338"/>
    <w:rsid w:val="00B07957"/>
    <w:rsid w:val="00B07C86"/>
    <w:rsid w:val="00B07EC5"/>
    <w:rsid w:val="00B1084B"/>
    <w:rsid w:val="00B10CBD"/>
    <w:rsid w:val="00B10D75"/>
    <w:rsid w:val="00B1152C"/>
    <w:rsid w:val="00B11D9C"/>
    <w:rsid w:val="00B1246D"/>
    <w:rsid w:val="00B12D2A"/>
    <w:rsid w:val="00B131C4"/>
    <w:rsid w:val="00B13708"/>
    <w:rsid w:val="00B13E62"/>
    <w:rsid w:val="00B13E8A"/>
    <w:rsid w:val="00B13F1E"/>
    <w:rsid w:val="00B145A3"/>
    <w:rsid w:val="00B1474B"/>
    <w:rsid w:val="00B14FDC"/>
    <w:rsid w:val="00B15250"/>
    <w:rsid w:val="00B15741"/>
    <w:rsid w:val="00B157DF"/>
    <w:rsid w:val="00B15A00"/>
    <w:rsid w:val="00B15D2A"/>
    <w:rsid w:val="00B15D45"/>
    <w:rsid w:val="00B164BB"/>
    <w:rsid w:val="00B169FA"/>
    <w:rsid w:val="00B16D31"/>
    <w:rsid w:val="00B16EC8"/>
    <w:rsid w:val="00B17105"/>
    <w:rsid w:val="00B1723B"/>
    <w:rsid w:val="00B17454"/>
    <w:rsid w:val="00B174B0"/>
    <w:rsid w:val="00B1754B"/>
    <w:rsid w:val="00B17965"/>
    <w:rsid w:val="00B17BB5"/>
    <w:rsid w:val="00B17E02"/>
    <w:rsid w:val="00B20482"/>
    <w:rsid w:val="00B2050E"/>
    <w:rsid w:val="00B20AAA"/>
    <w:rsid w:val="00B20C6A"/>
    <w:rsid w:val="00B20E6B"/>
    <w:rsid w:val="00B21530"/>
    <w:rsid w:val="00B2179A"/>
    <w:rsid w:val="00B21B98"/>
    <w:rsid w:val="00B21BFC"/>
    <w:rsid w:val="00B22002"/>
    <w:rsid w:val="00B22244"/>
    <w:rsid w:val="00B22401"/>
    <w:rsid w:val="00B224A5"/>
    <w:rsid w:val="00B22F3B"/>
    <w:rsid w:val="00B22F5F"/>
    <w:rsid w:val="00B22FA9"/>
    <w:rsid w:val="00B2314B"/>
    <w:rsid w:val="00B23416"/>
    <w:rsid w:val="00B236EA"/>
    <w:rsid w:val="00B23B11"/>
    <w:rsid w:val="00B23DE1"/>
    <w:rsid w:val="00B24E70"/>
    <w:rsid w:val="00B24FB1"/>
    <w:rsid w:val="00B2507E"/>
    <w:rsid w:val="00B250D6"/>
    <w:rsid w:val="00B25152"/>
    <w:rsid w:val="00B25183"/>
    <w:rsid w:val="00B252A0"/>
    <w:rsid w:val="00B2627B"/>
    <w:rsid w:val="00B2697A"/>
    <w:rsid w:val="00B26987"/>
    <w:rsid w:val="00B26ADF"/>
    <w:rsid w:val="00B26C2F"/>
    <w:rsid w:val="00B26D59"/>
    <w:rsid w:val="00B27030"/>
    <w:rsid w:val="00B2720D"/>
    <w:rsid w:val="00B272A6"/>
    <w:rsid w:val="00B272FC"/>
    <w:rsid w:val="00B2779D"/>
    <w:rsid w:val="00B278D2"/>
    <w:rsid w:val="00B27965"/>
    <w:rsid w:val="00B3036B"/>
    <w:rsid w:val="00B303BF"/>
    <w:rsid w:val="00B30975"/>
    <w:rsid w:val="00B30A93"/>
    <w:rsid w:val="00B30B17"/>
    <w:rsid w:val="00B30B48"/>
    <w:rsid w:val="00B30BB1"/>
    <w:rsid w:val="00B30C74"/>
    <w:rsid w:val="00B3101C"/>
    <w:rsid w:val="00B311DD"/>
    <w:rsid w:val="00B312E3"/>
    <w:rsid w:val="00B31D26"/>
    <w:rsid w:val="00B31E23"/>
    <w:rsid w:val="00B3212F"/>
    <w:rsid w:val="00B32721"/>
    <w:rsid w:val="00B32C62"/>
    <w:rsid w:val="00B32E94"/>
    <w:rsid w:val="00B332F4"/>
    <w:rsid w:val="00B335B9"/>
    <w:rsid w:val="00B3395D"/>
    <w:rsid w:val="00B33F63"/>
    <w:rsid w:val="00B3417E"/>
    <w:rsid w:val="00B34378"/>
    <w:rsid w:val="00B34A99"/>
    <w:rsid w:val="00B34B85"/>
    <w:rsid w:val="00B34CD6"/>
    <w:rsid w:val="00B34F41"/>
    <w:rsid w:val="00B3536D"/>
    <w:rsid w:val="00B35546"/>
    <w:rsid w:val="00B35A82"/>
    <w:rsid w:val="00B36150"/>
    <w:rsid w:val="00B36A5E"/>
    <w:rsid w:val="00B372BD"/>
    <w:rsid w:val="00B37767"/>
    <w:rsid w:val="00B37914"/>
    <w:rsid w:val="00B37C9E"/>
    <w:rsid w:val="00B4104A"/>
    <w:rsid w:val="00B4183B"/>
    <w:rsid w:val="00B41B23"/>
    <w:rsid w:val="00B41D01"/>
    <w:rsid w:val="00B42449"/>
    <w:rsid w:val="00B42573"/>
    <w:rsid w:val="00B437E8"/>
    <w:rsid w:val="00B44F8C"/>
    <w:rsid w:val="00B451AC"/>
    <w:rsid w:val="00B451CF"/>
    <w:rsid w:val="00B4531B"/>
    <w:rsid w:val="00B4537A"/>
    <w:rsid w:val="00B45C57"/>
    <w:rsid w:val="00B45E6D"/>
    <w:rsid w:val="00B465F2"/>
    <w:rsid w:val="00B46FA4"/>
    <w:rsid w:val="00B47030"/>
    <w:rsid w:val="00B470C5"/>
    <w:rsid w:val="00B473DB"/>
    <w:rsid w:val="00B476A4"/>
    <w:rsid w:val="00B47875"/>
    <w:rsid w:val="00B479C1"/>
    <w:rsid w:val="00B47BE7"/>
    <w:rsid w:val="00B501EC"/>
    <w:rsid w:val="00B502E3"/>
    <w:rsid w:val="00B50516"/>
    <w:rsid w:val="00B5073A"/>
    <w:rsid w:val="00B50CC6"/>
    <w:rsid w:val="00B51618"/>
    <w:rsid w:val="00B5185F"/>
    <w:rsid w:val="00B52029"/>
    <w:rsid w:val="00B52069"/>
    <w:rsid w:val="00B5232A"/>
    <w:rsid w:val="00B52626"/>
    <w:rsid w:val="00B52829"/>
    <w:rsid w:val="00B5290E"/>
    <w:rsid w:val="00B52EC7"/>
    <w:rsid w:val="00B534F5"/>
    <w:rsid w:val="00B5373D"/>
    <w:rsid w:val="00B53A2F"/>
    <w:rsid w:val="00B53B83"/>
    <w:rsid w:val="00B53C92"/>
    <w:rsid w:val="00B546BC"/>
    <w:rsid w:val="00B548A9"/>
    <w:rsid w:val="00B5494E"/>
    <w:rsid w:val="00B55408"/>
    <w:rsid w:val="00B55572"/>
    <w:rsid w:val="00B55A4D"/>
    <w:rsid w:val="00B55AC6"/>
    <w:rsid w:val="00B55C08"/>
    <w:rsid w:val="00B55C2F"/>
    <w:rsid w:val="00B55F9E"/>
    <w:rsid w:val="00B55FD6"/>
    <w:rsid w:val="00B56091"/>
    <w:rsid w:val="00B56315"/>
    <w:rsid w:val="00B56C57"/>
    <w:rsid w:val="00B57057"/>
    <w:rsid w:val="00B570FD"/>
    <w:rsid w:val="00B573AB"/>
    <w:rsid w:val="00B57427"/>
    <w:rsid w:val="00B57880"/>
    <w:rsid w:val="00B57AC0"/>
    <w:rsid w:val="00B57BC4"/>
    <w:rsid w:val="00B602B2"/>
    <w:rsid w:val="00B602EF"/>
    <w:rsid w:val="00B6068D"/>
    <w:rsid w:val="00B60C61"/>
    <w:rsid w:val="00B61039"/>
    <w:rsid w:val="00B61415"/>
    <w:rsid w:val="00B61F77"/>
    <w:rsid w:val="00B62315"/>
    <w:rsid w:val="00B62D00"/>
    <w:rsid w:val="00B632AA"/>
    <w:rsid w:val="00B6360B"/>
    <w:rsid w:val="00B63852"/>
    <w:rsid w:val="00B63FEE"/>
    <w:rsid w:val="00B64102"/>
    <w:rsid w:val="00B64318"/>
    <w:rsid w:val="00B653B1"/>
    <w:rsid w:val="00B653F4"/>
    <w:rsid w:val="00B65880"/>
    <w:rsid w:val="00B65DAF"/>
    <w:rsid w:val="00B65F7D"/>
    <w:rsid w:val="00B66A97"/>
    <w:rsid w:val="00B66FC6"/>
    <w:rsid w:val="00B675F2"/>
    <w:rsid w:val="00B679AF"/>
    <w:rsid w:val="00B70061"/>
    <w:rsid w:val="00B700A0"/>
    <w:rsid w:val="00B70385"/>
    <w:rsid w:val="00B7069E"/>
    <w:rsid w:val="00B70A95"/>
    <w:rsid w:val="00B70CE5"/>
    <w:rsid w:val="00B70DFC"/>
    <w:rsid w:val="00B70F88"/>
    <w:rsid w:val="00B7105B"/>
    <w:rsid w:val="00B71206"/>
    <w:rsid w:val="00B712C2"/>
    <w:rsid w:val="00B716D8"/>
    <w:rsid w:val="00B719D1"/>
    <w:rsid w:val="00B71AB7"/>
    <w:rsid w:val="00B723ED"/>
    <w:rsid w:val="00B72D33"/>
    <w:rsid w:val="00B72EAA"/>
    <w:rsid w:val="00B7306F"/>
    <w:rsid w:val="00B736C3"/>
    <w:rsid w:val="00B736CF"/>
    <w:rsid w:val="00B739CA"/>
    <w:rsid w:val="00B73A4C"/>
    <w:rsid w:val="00B73BE3"/>
    <w:rsid w:val="00B74B9F"/>
    <w:rsid w:val="00B74C88"/>
    <w:rsid w:val="00B750BC"/>
    <w:rsid w:val="00B75121"/>
    <w:rsid w:val="00B75AA9"/>
    <w:rsid w:val="00B76057"/>
    <w:rsid w:val="00B7619F"/>
    <w:rsid w:val="00B7621B"/>
    <w:rsid w:val="00B76243"/>
    <w:rsid w:val="00B76538"/>
    <w:rsid w:val="00B76690"/>
    <w:rsid w:val="00B766CD"/>
    <w:rsid w:val="00B76809"/>
    <w:rsid w:val="00B77101"/>
    <w:rsid w:val="00B77311"/>
    <w:rsid w:val="00B7744A"/>
    <w:rsid w:val="00B77AB1"/>
    <w:rsid w:val="00B80160"/>
    <w:rsid w:val="00B8064C"/>
    <w:rsid w:val="00B80805"/>
    <w:rsid w:val="00B80993"/>
    <w:rsid w:val="00B80CC0"/>
    <w:rsid w:val="00B80DE6"/>
    <w:rsid w:val="00B81728"/>
    <w:rsid w:val="00B81B30"/>
    <w:rsid w:val="00B81F12"/>
    <w:rsid w:val="00B822F7"/>
    <w:rsid w:val="00B82B18"/>
    <w:rsid w:val="00B82C0A"/>
    <w:rsid w:val="00B82C38"/>
    <w:rsid w:val="00B8302D"/>
    <w:rsid w:val="00B8303F"/>
    <w:rsid w:val="00B830D3"/>
    <w:rsid w:val="00B831B8"/>
    <w:rsid w:val="00B837B3"/>
    <w:rsid w:val="00B837CC"/>
    <w:rsid w:val="00B83842"/>
    <w:rsid w:val="00B83A56"/>
    <w:rsid w:val="00B83E6E"/>
    <w:rsid w:val="00B84282"/>
    <w:rsid w:val="00B84454"/>
    <w:rsid w:val="00B8448A"/>
    <w:rsid w:val="00B848B4"/>
    <w:rsid w:val="00B84949"/>
    <w:rsid w:val="00B84C81"/>
    <w:rsid w:val="00B84DFA"/>
    <w:rsid w:val="00B854ED"/>
    <w:rsid w:val="00B858CB"/>
    <w:rsid w:val="00B85C60"/>
    <w:rsid w:val="00B85E23"/>
    <w:rsid w:val="00B85E56"/>
    <w:rsid w:val="00B86556"/>
    <w:rsid w:val="00B86785"/>
    <w:rsid w:val="00B87145"/>
    <w:rsid w:val="00B875BA"/>
    <w:rsid w:val="00B8784C"/>
    <w:rsid w:val="00B87858"/>
    <w:rsid w:val="00B878CD"/>
    <w:rsid w:val="00B87916"/>
    <w:rsid w:val="00B87D45"/>
    <w:rsid w:val="00B9036C"/>
    <w:rsid w:val="00B90450"/>
    <w:rsid w:val="00B90880"/>
    <w:rsid w:val="00B90A6A"/>
    <w:rsid w:val="00B90F6A"/>
    <w:rsid w:val="00B91131"/>
    <w:rsid w:val="00B91411"/>
    <w:rsid w:val="00B917D7"/>
    <w:rsid w:val="00B925F4"/>
    <w:rsid w:val="00B92786"/>
    <w:rsid w:val="00B93082"/>
    <w:rsid w:val="00B93664"/>
    <w:rsid w:val="00B936B6"/>
    <w:rsid w:val="00B93711"/>
    <w:rsid w:val="00B9373A"/>
    <w:rsid w:val="00B93B26"/>
    <w:rsid w:val="00B93BC6"/>
    <w:rsid w:val="00B93C86"/>
    <w:rsid w:val="00B94180"/>
    <w:rsid w:val="00B942FC"/>
    <w:rsid w:val="00B9440C"/>
    <w:rsid w:val="00B947BE"/>
    <w:rsid w:val="00B95057"/>
    <w:rsid w:val="00B958CD"/>
    <w:rsid w:val="00B95977"/>
    <w:rsid w:val="00B95AF0"/>
    <w:rsid w:val="00B9620E"/>
    <w:rsid w:val="00B962F0"/>
    <w:rsid w:val="00B9648D"/>
    <w:rsid w:val="00B964B9"/>
    <w:rsid w:val="00B96BCF"/>
    <w:rsid w:val="00B96C54"/>
    <w:rsid w:val="00B970E0"/>
    <w:rsid w:val="00B97401"/>
    <w:rsid w:val="00B97488"/>
    <w:rsid w:val="00B974CD"/>
    <w:rsid w:val="00B975E5"/>
    <w:rsid w:val="00B9778D"/>
    <w:rsid w:val="00B97EFE"/>
    <w:rsid w:val="00BA020D"/>
    <w:rsid w:val="00BA0563"/>
    <w:rsid w:val="00BA0574"/>
    <w:rsid w:val="00BA05A2"/>
    <w:rsid w:val="00BA090B"/>
    <w:rsid w:val="00BA0ACC"/>
    <w:rsid w:val="00BA0B80"/>
    <w:rsid w:val="00BA0D2B"/>
    <w:rsid w:val="00BA1044"/>
    <w:rsid w:val="00BA176F"/>
    <w:rsid w:val="00BA1D73"/>
    <w:rsid w:val="00BA1E91"/>
    <w:rsid w:val="00BA1F23"/>
    <w:rsid w:val="00BA2776"/>
    <w:rsid w:val="00BA29A8"/>
    <w:rsid w:val="00BA33CB"/>
    <w:rsid w:val="00BA36B6"/>
    <w:rsid w:val="00BA3892"/>
    <w:rsid w:val="00BA38A5"/>
    <w:rsid w:val="00BA458D"/>
    <w:rsid w:val="00BA4898"/>
    <w:rsid w:val="00BA4CD5"/>
    <w:rsid w:val="00BA5073"/>
    <w:rsid w:val="00BA508D"/>
    <w:rsid w:val="00BA512F"/>
    <w:rsid w:val="00BA5478"/>
    <w:rsid w:val="00BA5538"/>
    <w:rsid w:val="00BA5704"/>
    <w:rsid w:val="00BA574D"/>
    <w:rsid w:val="00BA5C04"/>
    <w:rsid w:val="00BA5CD4"/>
    <w:rsid w:val="00BA5F82"/>
    <w:rsid w:val="00BA60B5"/>
    <w:rsid w:val="00BA6921"/>
    <w:rsid w:val="00BA72D7"/>
    <w:rsid w:val="00BA759F"/>
    <w:rsid w:val="00BA7C29"/>
    <w:rsid w:val="00BA7D76"/>
    <w:rsid w:val="00BB03BC"/>
    <w:rsid w:val="00BB0F5B"/>
    <w:rsid w:val="00BB118D"/>
    <w:rsid w:val="00BB1779"/>
    <w:rsid w:val="00BB1CA8"/>
    <w:rsid w:val="00BB1D8E"/>
    <w:rsid w:val="00BB233F"/>
    <w:rsid w:val="00BB2C60"/>
    <w:rsid w:val="00BB2D95"/>
    <w:rsid w:val="00BB3149"/>
    <w:rsid w:val="00BB3451"/>
    <w:rsid w:val="00BB3668"/>
    <w:rsid w:val="00BB3814"/>
    <w:rsid w:val="00BB3C87"/>
    <w:rsid w:val="00BB4006"/>
    <w:rsid w:val="00BB404B"/>
    <w:rsid w:val="00BB406D"/>
    <w:rsid w:val="00BB4896"/>
    <w:rsid w:val="00BB49BA"/>
    <w:rsid w:val="00BB4AA9"/>
    <w:rsid w:val="00BB4DF4"/>
    <w:rsid w:val="00BB4E59"/>
    <w:rsid w:val="00BB4EFB"/>
    <w:rsid w:val="00BB4FD4"/>
    <w:rsid w:val="00BB53F4"/>
    <w:rsid w:val="00BB54F1"/>
    <w:rsid w:val="00BB5F99"/>
    <w:rsid w:val="00BB6501"/>
    <w:rsid w:val="00BB66E4"/>
    <w:rsid w:val="00BB679F"/>
    <w:rsid w:val="00BB6899"/>
    <w:rsid w:val="00BB6F72"/>
    <w:rsid w:val="00BB703D"/>
    <w:rsid w:val="00BB7748"/>
    <w:rsid w:val="00BC00FC"/>
    <w:rsid w:val="00BC03BD"/>
    <w:rsid w:val="00BC0E61"/>
    <w:rsid w:val="00BC13D2"/>
    <w:rsid w:val="00BC1572"/>
    <w:rsid w:val="00BC15CF"/>
    <w:rsid w:val="00BC1DD6"/>
    <w:rsid w:val="00BC2AA0"/>
    <w:rsid w:val="00BC2DD7"/>
    <w:rsid w:val="00BC34B8"/>
    <w:rsid w:val="00BC3507"/>
    <w:rsid w:val="00BC372D"/>
    <w:rsid w:val="00BC38B0"/>
    <w:rsid w:val="00BC3D51"/>
    <w:rsid w:val="00BC41F8"/>
    <w:rsid w:val="00BC4482"/>
    <w:rsid w:val="00BC4855"/>
    <w:rsid w:val="00BC4928"/>
    <w:rsid w:val="00BC4A0E"/>
    <w:rsid w:val="00BC4CA0"/>
    <w:rsid w:val="00BC5435"/>
    <w:rsid w:val="00BC5844"/>
    <w:rsid w:val="00BC5A6F"/>
    <w:rsid w:val="00BC5FAB"/>
    <w:rsid w:val="00BC6018"/>
    <w:rsid w:val="00BC6094"/>
    <w:rsid w:val="00BC6199"/>
    <w:rsid w:val="00BC6AD4"/>
    <w:rsid w:val="00BC700F"/>
    <w:rsid w:val="00BC7774"/>
    <w:rsid w:val="00BC79D7"/>
    <w:rsid w:val="00BC7BBE"/>
    <w:rsid w:val="00BC7D3B"/>
    <w:rsid w:val="00BD004E"/>
    <w:rsid w:val="00BD0269"/>
    <w:rsid w:val="00BD03D6"/>
    <w:rsid w:val="00BD09BF"/>
    <w:rsid w:val="00BD0A58"/>
    <w:rsid w:val="00BD0ABB"/>
    <w:rsid w:val="00BD1757"/>
    <w:rsid w:val="00BD20CE"/>
    <w:rsid w:val="00BD2292"/>
    <w:rsid w:val="00BD2346"/>
    <w:rsid w:val="00BD2538"/>
    <w:rsid w:val="00BD29A4"/>
    <w:rsid w:val="00BD330B"/>
    <w:rsid w:val="00BD38BB"/>
    <w:rsid w:val="00BD39F6"/>
    <w:rsid w:val="00BD430C"/>
    <w:rsid w:val="00BD4495"/>
    <w:rsid w:val="00BD4785"/>
    <w:rsid w:val="00BD48F4"/>
    <w:rsid w:val="00BD4CBA"/>
    <w:rsid w:val="00BD54E9"/>
    <w:rsid w:val="00BD6470"/>
    <w:rsid w:val="00BD6D55"/>
    <w:rsid w:val="00BD714A"/>
    <w:rsid w:val="00BD71A6"/>
    <w:rsid w:val="00BD74B7"/>
    <w:rsid w:val="00BD77A3"/>
    <w:rsid w:val="00BD79BA"/>
    <w:rsid w:val="00BD7A0D"/>
    <w:rsid w:val="00BE0556"/>
    <w:rsid w:val="00BE0DC9"/>
    <w:rsid w:val="00BE0E33"/>
    <w:rsid w:val="00BE127B"/>
    <w:rsid w:val="00BE14F3"/>
    <w:rsid w:val="00BE1A73"/>
    <w:rsid w:val="00BE25AD"/>
    <w:rsid w:val="00BE2845"/>
    <w:rsid w:val="00BE2C4F"/>
    <w:rsid w:val="00BE2E37"/>
    <w:rsid w:val="00BE2FA2"/>
    <w:rsid w:val="00BE3241"/>
    <w:rsid w:val="00BE32A5"/>
    <w:rsid w:val="00BE33A6"/>
    <w:rsid w:val="00BE3ADE"/>
    <w:rsid w:val="00BE4BFF"/>
    <w:rsid w:val="00BE545B"/>
    <w:rsid w:val="00BE54B7"/>
    <w:rsid w:val="00BE5965"/>
    <w:rsid w:val="00BE5D4B"/>
    <w:rsid w:val="00BE630C"/>
    <w:rsid w:val="00BE6B06"/>
    <w:rsid w:val="00BE6F35"/>
    <w:rsid w:val="00BE6FD1"/>
    <w:rsid w:val="00BE7053"/>
    <w:rsid w:val="00BE719E"/>
    <w:rsid w:val="00BE722C"/>
    <w:rsid w:val="00BE7CDA"/>
    <w:rsid w:val="00BE7CE6"/>
    <w:rsid w:val="00BE7E36"/>
    <w:rsid w:val="00BE7EF8"/>
    <w:rsid w:val="00BF0557"/>
    <w:rsid w:val="00BF0740"/>
    <w:rsid w:val="00BF1035"/>
    <w:rsid w:val="00BF145C"/>
    <w:rsid w:val="00BF1BC3"/>
    <w:rsid w:val="00BF1D53"/>
    <w:rsid w:val="00BF2222"/>
    <w:rsid w:val="00BF2A00"/>
    <w:rsid w:val="00BF2A45"/>
    <w:rsid w:val="00BF2A7F"/>
    <w:rsid w:val="00BF311C"/>
    <w:rsid w:val="00BF3303"/>
    <w:rsid w:val="00BF35B4"/>
    <w:rsid w:val="00BF3EC4"/>
    <w:rsid w:val="00BF49FB"/>
    <w:rsid w:val="00BF4C45"/>
    <w:rsid w:val="00BF4E1A"/>
    <w:rsid w:val="00BF4FFB"/>
    <w:rsid w:val="00BF54F6"/>
    <w:rsid w:val="00BF5930"/>
    <w:rsid w:val="00BF5D07"/>
    <w:rsid w:val="00BF6011"/>
    <w:rsid w:val="00BF601C"/>
    <w:rsid w:val="00BF62AE"/>
    <w:rsid w:val="00BF6B61"/>
    <w:rsid w:val="00BF7267"/>
    <w:rsid w:val="00BF76C0"/>
    <w:rsid w:val="00BF7B85"/>
    <w:rsid w:val="00BF7C83"/>
    <w:rsid w:val="00C0025C"/>
    <w:rsid w:val="00C010EA"/>
    <w:rsid w:val="00C01472"/>
    <w:rsid w:val="00C0175D"/>
    <w:rsid w:val="00C02321"/>
    <w:rsid w:val="00C02AF8"/>
    <w:rsid w:val="00C02C1C"/>
    <w:rsid w:val="00C02EDC"/>
    <w:rsid w:val="00C034C5"/>
    <w:rsid w:val="00C03954"/>
    <w:rsid w:val="00C03C01"/>
    <w:rsid w:val="00C03D57"/>
    <w:rsid w:val="00C0406B"/>
    <w:rsid w:val="00C040EC"/>
    <w:rsid w:val="00C0430B"/>
    <w:rsid w:val="00C0447E"/>
    <w:rsid w:val="00C044EA"/>
    <w:rsid w:val="00C04D37"/>
    <w:rsid w:val="00C05765"/>
    <w:rsid w:val="00C0656A"/>
    <w:rsid w:val="00C07228"/>
    <w:rsid w:val="00C07B53"/>
    <w:rsid w:val="00C07FF4"/>
    <w:rsid w:val="00C1004D"/>
    <w:rsid w:val="00C10FDA"/>
    <w:rsid w:val="00C110EB"/>
    <w:rsid w:val="00C11DC4"/>
    <w:rsid w:val="00C1265D"/>
    <w:rsid w:val="00C12EE8"/>
    <w:rsid w:val="00C138D6"/>
    <w:rsid w:val="00C13A2F"/>
    <w:rsid w:val="00C13E0F"/>
    <w:rsid w:val="00C13FB4"/>
    <w:rsid w:val="00C13FC8"/>
    <w:rsid w:val="00C141D5"/>
    <w:rsid w:val="00C144FD"/>
    <w:rsid w:val="00C147D5"/>
    <w:rsid w:val="00C14E53"/>
    <w:rsid w:val="00C14EE9"/>
    <w:rsid w:val="00C1522C"/>
    <w:rsid w:val="00C1594A"/>
    <w:rsid w:val="00C15C92"/>
    <w:rsid w:val="00C16211"/>
    <w:rsid w:val="00C16320"/>
    <w:rsid w:val="00C1636F"/>
    <w:rsid w:val="00C163FD"/>
    <w:rsid w:val="00C167DC"/>
    <w:rsid w:val="00C168B9"/>
    <w:rsid w:val="00C16B24"/>
    <w:rsid w:val="00C16B38"/>
    <w:rsid w:val="00C16DDC"/>
    <w:rsid w:val="00C17057"/>
    <w:rsid w:val="00C17120"/>
    <w:rsid w:val="00C171D8"/>
    <w:rsid w:val="00C173E4"/>
    <w:rsid w:val="00C2012A"/>
    <w:rsid w:val="00C20521"/>
    <w:rsid w:val="00C2052E"/>
    <w:rsid w:val="00C2057E"/>
    <w:rsid w:val="00C20673"/>
    <w:rsid w:val="00C206BA"/>
    <w:rsid w:val="00C207A6"/>
    <w:rsid w:val="00C20808"/>
    <w:rsid w:val="00C209D8"/>
    <w:rsid w:val="00C20AC6"/>
    <w:rsid w:val="00C2106E"/>
    <w:rsid w:val="00C214B3"/>
    <w:rsid w:val="00C215E0"/>
    <w:rsid w:val="00C217F8"/>
    <w:rsid w:val="00C22CED"/>
    <w:rsid w:val="00C22EB8"/>
    <w:rsid w:val="00C232B2"/>
    <w:rsid w:val="00C234E4"/>
    <w:rsid w:val="00C23620"/>
    <w:rsid w:val="00C23B7B"/>
    <w:rsid w:val="00C23BF9"/>
    <w:rsid w:val="00C23C6C"/>
    <w:rsid w:val="00C23D41"/>
    <w:rsid w:val="00C23F0A"/>
    <w:rsid w:val="00C23F47"/>
    <w:rsid w:val="00C244AB"/>
    <w:rsid w:val="00C24653"/>
    <w:rsid w:val="00C24806"/>
    <w:rsid w:val="00C24BFF"/>
    <w:rsid w:val="00C24F8D"/>
    <w:rsid w:val="00C251B1"/>
    <w:rsid w:val="00C254F6"/>
    <w:rsid w:val="00C26725"/>
    <w:rsid w:val="00C26B92"/>
    <w:rsid w:val="00C26D69"/>
    <w:rsid w:val="00C27318"/>
    <w:rsid w:val="00C2731F"/>
    <w:rsid w:val="00C27977"/>
    <w:rsid w:val="00C30017"/>
    <w:rsid w:val="00C3002C"/>
    <w:rsid w:val="00C302F5"/>
    <w:rsid w:val="00C304FA"/>
    <w:rsid w:val="00C30569"/>
    <w:rsid w:val="00C30661"/>
    <w:rsid w:val="00C30A2B"/>
    <w:rsid w:val="00C30B96"/>
    <w:rsid w:val="00C30E50"/>
    <w:rsid w:val="00C30FFF"/>
    <w:rsid w:val="00C310E9"/>
    <w:rsid w:val="00C311A4"/>
    <w:rsid w:val="00C314D2"/>
    <w:rsid w:val="00C3158F"/>
    <w:rsid w:val="00C3222C"/>
    <w:rsid w:val="00C32397"/>
    <w:rsid w:val="00C32878"/>
    <w:rsid w:val="00C329B0"/>
    <w:rsid w:val="00C32DBE"/>
    <w:rsid w:val="00C3309E"/>
    <w:rsid w:val="00C338CD"/>
    <w:rsid w:val="00C33F38"/>
    <w:rsid w:val="00C34012"/>
    <w:rsid w:val="00C3422C"/>
    <w:rsid w:val="00C348BA"/>
    <w:rsid w:val="00C34E07"/>
    <w:rsid w:val="00C34F4F"/>
    <w:rsid w:val="00C354D3"/>
    <w:rsid w:val="00C35A11"/>
    <w:rsid w:val="00C35A41"/>
    <w:rsid w:val="00C35B0D"/>
    <w:rsid w:val="00C35B2E"/>
    <w:rsid w:val="00C361C4"/>
    <w:rsid w:val="00C364B0"/>
    <w:rsid w:val="00C36503"/>
    <w:rsid w:val="00C36524"/>
    <w:rsid w:val="00C366BA"/>
    <w:rsid w:val="00C3683F"/>
    <w:rsid w:val="00C368B8"/>
    <w:rsid w:val="00C36F5E"/>
    <w:rsid w:val="00C370B1"/>
    <w:rsid w:val="00C370B5"/>
    <w:rsid w:val="00C37570"/>
    <w:rsid w:val="00C37D6D"/>
    <w:rsid w:val="00C37E45"/>
    <w:rsid w:val="00C37F60"/>
    <w:rsid w:val="00C401AB"/>
    <w:rsid w:val="00C4082F"/>
    <w:rsid w:val="00C40C3A"/>
    <w:rsid w:val="00C40E29"/>
    <w:rsid w:val="00C4110A"/>
    <w:rsid w:val="00C415E9"/>
    <w:rsid w:val="00C422E7"/>
    <w:rsid w:val="00C42539"/>
    <w:rsid w:val="00C425B8"/>
    <w:rsid w:val="00C42AA6"/>
    <w:rsid w:val="00C42B05"/>
    <w:rsid w:val="00C42DFE"/>
    <w:rsid w:val="00C43013"/>
    <w:rsid w:val="00C4323A"/>
    <w:rsid w:val="00C43317"/>
    <w:rsid w:val="00C4343B"/>
    <w:rsid w:val="00C4350F"/>
    <w:rsid w:val="00C43782"/>
    <w:rsid w:val="00C438A6"/>
    <w:rsid w:val="00C43B12"/>
    <w:rsid w:val="00C4430C"/>
    <w:rsid w:val="00C4474D"/>
    <w:rsid w:val="00C44C39"/>
    <w:rsid w:val="00C460AA"/>
    <w:rsid w:val="00C466FA"/>
    <w:rsid w:val="00C46856"/>
    <w:rsid w:val="00C46A69"/>
    <w:rsid w:val="00C46B04"/>
    <w:rsid w:val="00C46C1C"/>
    <w:rsid w:val="00C46CE4"/>
    <w:rsid w:val="00C47622"/>
    <w:rsid w:val="00C478E7"/>
    <w:rsid w:val="00C47F0E"/>
    <w:rsid w:val="00C5051B"/>
    <w:rsid w:val="00C50F0C"/>
    <w:rsid w:val="00C510F9"/>
    <w:rsid w:val="00C51300"/>
    <w:rsid w:val="00C51BAC"/>
    <w:rsid w:val="00C52238"/>
    <w:rsid w:val="00C5243A"/>
    <w:rsid w:val="00C52543"/>
    <w:rsid w:val="00C52586"/>
    <w:rsid w:val="00C533EC"/>
    <w:rsid w:val="00C53450"/>
    <w:rsid w:val="00C5385F"/>
    <w:rsid w:val="00C538C4"/>
    <w:rsid w:val="00C539CF"/>
    <w:rsid w:val="00C54121"/>
    <w:rsid w:val="00C544B0"/>
    <w:rsid w:val="00C546B9"/>
    <w:rsid w:val="00C547D1"/>
    <w:rsid w:val="00C552F7"/>
    <w:rsid w:val="00C553B9"/>
    <w:rsid w:val="00C553EB"/>
    <w:rsid w:val="00C55728"/>
    <w:rsid w:val="00C55877"/>
    <w:rsid w:val="00C55A50"/>
    <w:rsid w:val="00C55A82"/>
    <w:rsid w:val="00C55E73"/>
    <w:rsid w:val="00C55EEF"/>
    <w:rsid w:val="00C5600A"/>
    <w:rsid w:val="00C56AAC"/>
    <w:rsid w:val="00C57466"/>
    <w:rsid w:val="00C57A92"/>
    <w:rsid w:val="00C57AA1"/>
    <w:rsid w:val="00C57CD3"/>
    <w:rsid w:val="00C57DA4"/>
    <w:rsid w:val="00C57EA5"/>
    <w:rsid w:val="00C607B4"/>
    <w:rsid w:val="00C607EC"/>
    <w:rsid w:val="00C61347"/>
    <w:rsid w:val="00C614FE"/>
    <w:rsid w:val="00C61C5B"/>
    <w:rsid w:val="00C62108"/>
    <w:rsid w:val="00C62725"/>
    <w:rsid w:val="00C6288F"/>
    <w:rsid w:val="00C62D13"/>
    <w:rsid w:val="00C63337"/>
    <w:rsid w:val="00C6345F"/>
    <w:rsid w:val="00C6390D"/>
    <w:rsid w:val="00C63B35"/>
    <w:rsid w:val="00C63C7D"/>
    <w:rsid w:val="00C63FD3"/>
    <w:rsid w:val="00C6408B"/>
    <w:rsid w:val="00C640C7"/>
    <w:rsid w:val="00C643D3"/>
    <w:rsid w:val="00C6468A"/>
    <w:rsid w:val="00C646F3"/>
    <w:rsid w:val="00C64AC1"/>
    <w:rsid w:val="00C657F9"/>
    <w:rsid w:val="00C6604C"/>
    <w:rsid w:val="00C66550"/>
    <w:rsid w:val="00C668EB"/>
    <w:rsid w:val="00C67360"/>
    <w:rsid w:val="00C67593"/>
    <w:rsid w:val="00C678A2"/>
    <w:rsid w:val="00C678C7"/>
    <w:rsid w:val="00C67944"/>
    <w:rsid w:val="00C67AB3"/>
    <w:rsid w:val="00C67BCA"/>
    <w:rsid w:val="00C67D40"/>
    <w:rsid w:val="00C67F94"/>
    <w:rsid w:val="00C70081"/>
    <w:rsid w:val="00C711C2"/>
    <w:rsid w:val="00C7159D"/>
    <w:rsid w:val="00C7169F"/>
    <w:rsid w:val="00C7184B"/>
    <w:rsid w:val="00C71A39"/>
    <w:rsid w:val="00C71C6D"/>
    <w:rsid w:val="00C727FD"/>
    <w:rsid w:val="00C72908"/>
    <w:rsid w:val="00C7293F"/>
    <w:rsid w:val="00C731A6"/>
    <w:rsid w:val="00C7327B"/>
    <w:rsid w:val="00C7354B"/>
    <w:rsid w:val="00C736BF"/>
    <w:rsid w:val="00C73936"/>
    <w:rsid w:val="00C73BDE"/>
    <w:rsid w:val="00C73C5E"/>
    <w:rsid w:val="00C73E73"/>
    <w:rsid w:val="00C74F14"/>
    <w:rsid w:val="00C7509F"/>
    <w:rsid w:val="00C759F2"/>
    <w:rsid w:val="00C75BBD"/>
    <w:rsid w:val="00C75DEE"/>
    <w:rsid w:val="00C76287"/>
    <w:rsid w:val="00C76C85"/>
    <w:rsid w:val="00C76E32"/>
    <w:rsid w:val="00C76F48"/>
    <w:rsid w:val="00C776AE"/>
    <w:rsid w:val="00C777D2"/>
    <w:rsid w:val="00C77BAA"/>
    <w:rsid w:val="00C77FA0"/>
    <w:rsid w:val="00C80163"/>
    <w:rsid w:val="00C805BF"/>
    <w:rsid w:val="00C80BA3"/>
    <w:rsid w:val="00C80CDD"/>
    <w:rsid w:val="00C8115B"/>
    <w:rsid w:val="00C81C4B"/>
    <w:rsid w:val="00C81CFC"/>
    <w:rsid w:val="00C81E55"/>
    <w:rsid w:val="00C81EF4"/>
    <w:rsid w:val="00C82CCE"/>
    <w:rsid w:val="00C83CB8"/>
    <w:rsid w:val="00C83EC8"/>
    <w:rsid w:val="00C83F1B"/>
    <w:rsid w:val="00C845A8"/>
    <w:rsid w:val="00C846E8"/>
    <w:rsid w:val="00C84794"/>
    <w:rsid w:val="00C84BED"/>
    <w:rsid w:val="00C84CFB"/>
    <w:rsid w:val="00C8507C"/>
    <w:rsid w:val="00C851AC"/>
    <w:rsid w:val="00C85357"/>
    <w:rsid w:val="00C85561"/>
    <w:rsid w:val="00C857CB"/>
    <w:rsid w:val="00C858AF"/>
    <w:rsid w:val="00C86619"/>
    <w:rsid w:val="00C869AF"/>
    <w:rsid w:val="00C86AD8"/>
    <w:rsid w:val="00C86EE6"/>
    <w:rsid w:val="00C8713F"/>
    <w:rsid w:val="00C87443"/>
    <w:rsid w:val="00C874EF"/>
    <w:rsid w:val="00C87832"/>
    <w:rsid w:val="00C8789A"/>
    <w:rsid w:val="00C903F4"/>
    <w:rsid w:val="00C905F4"/>
    <w:rsid w:val="00C9072C"/>
    <w:rsid w:val="00C908A0"/>
    <w:rsid w:val="00C90E21"/>
    <w:rsid w:val="00C911BE"/>
    <w:rsid w:val="00C91FE2"/>
    <w:rsid w:val="00C923B6"/>
    <w:rsid w:val="00C924F2"/>
    <w:rsid w:val="00C924F7"/>
    <w:rsid w:val="00C925A3"/>
    <w:rsid w:val="00C92E75"/>
    <w:rsid w:val="00C930CC"/>
    <w:rsid w:val="00C93383"/>
    <w:rsid w:val="00C93679"/>
    <w:rsid w:val="00C9397A"/>
    <w:rsid w:val="00C93A1D"/>
    <w:rsid w:val="00C93C7A"/>
    <w:rsid w:val="00C93E0A"/>
    <w:rsid w:val="00C9419B"/>
    <w:rsid w:val="00C94280"/>
    <w:rsid w:val="00C9469A"/>
    <w:rsid w:val="00C94A51"/>
    <w:rsid w:val="00C9509F"/>
    <w:rsid w:val="00C95145"/>
    <w:rsid w:val="00C9623C"/>
    <w:rsid w:val="00C964C5"/>
    <w:rsid w:val="00C9650C"/>
    <w:rsid w:val="00C965C2"/>
    <w:rsid w:val="00C96634"/>
    <w:rsid w:val="00C969B9"/>
    <w:rsid w:val="00C96F2C"/>
    <w:rsid w:val="00C97419"/>
    <w:rsid w:val="00C975EE"/>
    <w:rsid w:val="00C977B8"/>
    <w:rsid w:val="00CA018E"/>
    <w:rsid w:val="00CA033B"/>
    <w:rsid w:val="00CA045A"/>
    <w:rsid w:val="00CA0521"/>
    <w:rsid w:val="00CA0534"/>
    <w:rsid w:val="00CA0B92"/>
    <w:rsid w:val="00CA0BE4"/>
    <w:rsid w:val="00CA0BEE"/>
    <w:rsid w:val="00CA0DCE"/>
    <w:rsid w:val="00CA135A"/>
    <w:rsid w:val="00CA1435"/>
    <w:rsid w:val="00CA1D5F"/>
    <w:rsid w:val="00CA1E43"/>
    <w:rsid w:val="00CA1E85"/>
    <w:rsid w:val="00CA2456"/>
    <w:rsid w:val="00CA2592"/>
    <w:rsid w:val="00CA34D2"/>
    <w:rsid w:val="00CA369F"/>
    <w:rsid w:val="00CA37FC"/>
    <w:rsid w:val="00CA3B50"/>
    <w:rsid w:val="00CA3D77"/>
    <w:rsid w:val="00CA3EE6"/>
    <w:rsid w:val="00CA4213"/>
    <w:rsid w:val="00CA4279"/>
    <w:rsid w:val="00CA4284"/>
    <w:rsid w:val="00CA448F"/>
    <w:rsid w:val="00CA4778"/>
    <w:rsid w:val="00CA4A09"/>
    <w:rsid w:val="00CA4A0F"/>
    <w:rsid w:val="00CA4A9D"/>
    <w:rsid w:val="00CA4B91"/>
    <w:rsid w:val="00CA5009"/>
    <w:rsid w:val="00CA5B27"/>
    <w:rsid w:val="00CA5BA6"/>
    <w:rsid w:val="00CA5BA9"/>
    <w:rsid w:val="00CA5BFF"/>
    <w:rsid w:val="00CA60A3"/>
    <w:rsid w:val="00CA6112"/>
    <w:rsid w:val="00CA73F2"/>
    <w:rsid w:val="00CA7852"/>
    <w:rsid w:val="00CA78A8"/>
    <w:rsid w:val="00CA7A26"/>
    <w:rsid w:val="00CB0349"/>
    <w:rsid w:val="00CB04C4"/>
    <w:rsid w:val="00CB0AF2"/>
    <w:rsid w:val="00CB0B22"/>
    <w:rsid w:val="00CB0ECC"/>
    <w:rsid w:val="00CB0F4A"/>
    <w:rsid w:val="00CB1112"/>
    <w:rsid w:val="00CB16C8"/>
    <w:rsid w:val="00CB1790"/>
    <w:rsid w:val="00CB1799"/>
    <w:rsid w:val="00CB1E74"/>
    <w:rsid w:val="00CB200F"/>
    <w:rsid w:val="00CB230E"/>
    <w:rsid w:val="00CB2363"/>
    <w:rsid w:val="00CB25DC"/>
    <w:rsid w:val="00CB2D7D"/>
    <w:rsid w:val="00CB2EC0"/>
    <w:rsid w:val="00CB37CA"/>
    <w:rsid w:val="00CB5324"/>
    <w:rsid w:val="00CB5BF1"/>
    <w:rsid w:val="00CB62E6"/>
    <w:rsid w:val="00CB71BB"/>
    <w:rsid w:val="00CB74FD"/>
    <w:rsid w:val="00CB75AB"/>
    <w:rsid w:val="00CB7AE1"/>
    <w:rsid w:val="00CB7D06"/>
    <w:rsid w:val="00CB7D8F"/>
    <w:rsid w:val="00CB7FE8"/>
    <w:rsid w:val="00CC02A8"/>
    <w:rsid w:val="00CC05C8"/>
    <w:rsid w:val="00CC0C52"/>
    <w:rsid w:val="00CC0D4A"/>
    <w:rsid w:val="00CC0D7E"/>
    <w:rsid w:val="00CC10B2"/>
    <w:rsid w:val="00CC1AAC"/>
    <w:rsid w:val="00CC269E"/>
    <w:rsid w:val="00CC2C6F"/>
    <w:rsid w:val="00CC3283"/>
    <w:rsid w:val="00CC444D"/>
    <w:rsid w:val="00CC4A08"/>
    <w:rsid w:val="00CC5337"/>
    <w:rsid w:val="00CC54A7"/>
    <w:rsid w:val="00CC54CC"/>
    <w:rsid w:val="00CC54F5"/>
    <w:rsid w:val="00CC5797"/>
    <w:rsid w:val="00CC5D57"/>
    <w:rsid w:val="00CC5DCE"/>
    <w:rsid w:val="00CC662D"/>
    <w:rsid w:val="00CC6731"/>
    <w:rsid w:val="00CC6B66"/>
    <w:rsid w:val="00CC6B6C"/>
    <w:rsid w:val="00CC72AC"/>
    <w:rsid w:val="00CC7C47"/>
    <w:rsid w:val="00CD0168"/>
    <w:rsid w:val="00CD0316"/>
    <w:rsid w:val="00CD0447"/>
    <w:rsid w:val="00CD049D"/>
    <w:rsid w:val="00CD0A32"/>
    <w:rsid w:val="00CD0A7D"/>
    <w:rsid w:val="00CD235C"/>
    <w:rsid w:val="00CD2608"/>
    <w:rsid w:val="00CD2824"/>
    <w:rsid w:val="00CD28D0"/>
    <w:rsid w:val="00CD2AA0"/>
    <w:rsid w:val="00CD2DA8"/>
    <w:rsid w:val="00CD2F19"/>
    <w:rsid w:val="00CD30B8"/>
    <w:rsid w:val="00CD3239"/>
    <w:rsid w:val="00CD3B2A"/>
    <w:rsid w:val="00CD3D16"/>
    <w:rsid w:val="00CD3DD6"/>
    <w:rsid w:val="00CD4257"/>
    <w:rsid w:val="00CD4424"/>
    <w:rsid w:val="00CD465F"/>
    <w:rsid w:val="00CD4A4E"/>
    <w:rsid w:val="00CD4E63"/>
    <w:rsid w:val="00CD5239"/>
    <w:rsid w:val="00CD572D"/>
    <w:rsid w:val="00CD5731"/>
    <w:rsid w:val="00CD5C94"/>
    <w:rsid w:val="00CD5DC0"/>
    <w:rsid w:val="00CD5EF7"/>
    <w:rsid w:val="00CD5FF6"/>
    <w:rsid w:val="00CD6451"/>
    <w:rsid w:val="00CD64D2"/>
    <w:rsid w:val="00CD674F"/>
    <w:rsid w:val="00CD6F72"/>
    <w:rsid w:val="00CD7320"/>
    <w:rsid w:val="00CD74B5"/>
    <w:rsid w:val="00CD761C"/>
    <w:rsid w:val="00CD78BB"/>
    <w:rsid w:val="00CE0897"/>
    <w:rsid w:val="00CE0E57"/>
    <w:rsid w:val="00CE1756"/>
    <w:rsid w:val="00CE1AA8"/>
    <w:rsid w:val="00CE1C7D"/>
    <w:rsid w:val="00CE1D01"/>
    <w:rsid w:val="00CE20A6"/>
    <w:rsid w:val="00CE21B4"/>
    <w:rsid w:val="00CE26A1"/>
    <w:rsid w:val="00CE2CD1"/>
    <w:rsid w:val="00CE2D4A"/>
    <w:rsid w:val="00CE32E7"/>
    <w:rsid w:val="00CE3525"/>
    <w:rsid w:val="00CE38CA"/>
    <w:rsid w:val="00CE38D5"/>
    <w:rsid w:val="00CE3BFC"/>
    <w:rsid w:val="00CE3CDA"/>
    <w:rsid w:val="00CE3D7C"/>
    <w:rsid w:val="00CE44C1"/>
    <w:rsid w:val="00CE4742"/>
    <w:rsid w:val="00CE4A8E"/>
    <w:rsid w:val="00CE4AB6"/>
    <w:rsid w:val="00CE4CA6"/>
    <w:rsid w:val="00CE4D7A"/>
    <w:rsid w:val="00CE5013"/>
    <w:rsid w:val="00CE5085"/>
    <w:rsid w:val="00CE5571"/>
    <w:rsid w:val="00CE56AB"/>
    <w:rsid w:val="00CE58C9"/>
    <w:rsid w:val="00CE59B9"/>
    <w:rsid w:val="00CE5B64"/>
    <w:rsid w:val="00CE5E4D"/>
    <w:rsid w:val="00CE634C"/>
    <w:rsid w:val="00CE6569"/>
    <w:rsid w:val="00CE6F8B"/>
    <w:rsid w:val="00CE7099"/>
    <w:rsid w:val="00CE7B24"/>
    <w:rsid w:val="00CE7C76"/>
    <w:rsid w:val="00CE7D7E"/>
    <w:rsid w:val="00CF00F5"/>
    <w:rsid w:val="00CF03AE"/>
    <w:rsid w:val="00CF0C3D"/>
    <w:rsid w:val="00CF0EC5"/>
    <w:rsid w:val="00CF0FFB"/>
    <w:rsid w:val="00CF101B"/>
    <w:rsid w:val="00CF1285"/>
    <w:rsid w:val="00CF18C8"/>
    <w:rsid w:val="00CF241D"/>
    <w:rsid w:val="00CF24F8"/>
    <w:rsid w:val="00CF27DC"/>
    <w:rsid w:val="00CF2C72"/>
    <w:rsid w:val="00CF3007"/>
    <w:rsid w:val="00CF3064"/>
    <w:rsid w:val="00CF362B"/>
    <w:rsid w:val="00CF415C"/>
    <w:rsid w:val="00CF435C"/>
    <w:rsid w:val="00CF44AF"/>
    <w:rsid w:val="00CF4508"/>
    <w:rsid w:val="00CF4C23"/>
    <w:rsid w:val="00CF5964"/>
    <w:rsid w:val="00CF5988"/>
    <w:rsid w:val="00CF5CF8"/>
    <w:rsid w:val="00CF5E76"/>
    <w:rsid w:val="00CF5F5C"/>
    <w:rsid w:val="00CF5F82"/>
    <w:rsid w:val="00CF614E"/>
    <w:rsid w:val="00CF64CB"/>
    <w:rsid w:val="00CF6514"/>
    <w:rsid w:val="00CF6766"/>
    <w:rsid w:val="00CF68A8"/>
    <w:rsid w:val="00CF6970"/>
    <w:rsid w:val="00CF6EC3"/>
    <w:rsid w:val="00CF6FE8"/>
    <w:rsid w:val="00CF7273"/>
    <w:rsid w:val="00CF7454"/>
    <w:rsid w:val="00CF7462"/>
    <w:rsid w:val="00CF783F"/>
    <w:rsid w:val="00CF7943"/>
    <w:rsid w:val="00CF7989"/>
    <w:rsid w:val="00CF7E37"/>
    <w:rsid w:val="00CF7EF1"/>
    <w:rsid w:val="00CF7FBD"/>
    <w:rsid w:val="00D00818"/>
    <w:rsid w:val="00D00A48"/>
    <w:rsid w:val="00D00A74"/>
    <w:rsid w:val="00D00B4F"/>
    <w:rsid w:val="00D01126"/>
    <w:rsid w:val="00D012B1"/>
    <w:rsid w:val="00D01854"/>
    <w:rsid w:val="00D02277"/>
    <w:rsid w:val="00D02304"/>
    <w:rsid w:val="00D02331"/>
    <w:rsid w:val="00D02590"/>
    <w:rsid w:val="00D0281F"/>
    <w:rsid w:val="00D0288A"/>
    <w:rsid w:val="00D029C3"/>
    <w:rsid w:val="00D02BA1"/>
    <w:rsid w:val="00D02CFA"/>
    <w:rsid w:val="00D036F0"/>
    <w:rsid w:val="00D03EC5"/>
    <w:rsid w:val="00D03F3F"/>
    <w:rsid w:val="00D0472D"/>
    <w:rsid w:val="00D047F5"/>
    <w:rsid w:val="00D04E46"/>
    <w:rsid w:val="00D05008"/>
    <w:rsid w:val="00D050AA"/>
    <w:rsid w:val="00D05193"/>
    <w:rsid w:val="00D058C5"/>
    <w:rsid w:val="00D058D7"/>
    <w:rsid w:val="00D06450"/>
    <w:rsid w:val="00D072F8"/>
    <w:rsid w:val="00D0736E"/>
    <w:rsid w:val="00D0747A"/>
    <w:rsid w:val="00D0754D"/>
    <w:rsid w:val="00D0794F"/>
    <w:rsid w:val="00D07DA4"/>
    <w:rsid w:val="00D103D1"/>
    <w:rsid w:val="00D10996"/>
    <w:rsid w:val="00D10E1B"/>
    <w:rsid w:val="00D117D9"/>
    <w:rsid w:val="00D12581"/>
    <w:rsid w:val="00D12A54"/>
    <w:rsid w:val="00D12B88"/>
    <w:rsid w:val="00D130A9"/>
    <w:rsid w:val="00D1332C"/>
    <w:rsid w:val="00D135F4"/>
    <w:rsid w:val="00D13AC6"/>
    <w:rsid w:val="00D14212"/>
    <w:rsid w:val="00D14428"/>
    <w:rsid w:val="00D1455E"/>
    <w:rsid w:val="00D148D1"/>
    <w:rsid w:val="00D14BC3"/>
    <w:rsid w:val="00D14C00"/>
    <w:rsid w:val="00D1521A"/>
    <w:rsid w:val="00D15225"/>
    <w:rsid w:val="00D15263"/>
    <w:rsid w:val="00D156C2"/>
    <w:rsid w:val="00D15A24"/>
    <w:rsid w:val="00D15DC4"/>
    <w:rsid w:val="00D1662C"/>
    <w:rsid w:val="00D167A6"/>
    <w:rsid w:val="00D16818"/>
    <w:rsid w:val="00D16B63"/>
    <w:rsid w:val="00D171DE"/>
    <w:rsid w:val="00D173FC"/>
    <w:rsid w:val="00D1744C"/>
    <w:rsid w:val="00D20904"/>
    <w:rsid w:val="00D20B6D"/>
    <w:rsid w:val="00D20BC5"/>
    <w:rsid w:val="00D20C0A"/>
    <w:rsid w:val="00D20C70"/>
    <w:rsid w:val="00D20D91"/>
    <w:rsid w:val="00D21020"/>
    <w:rsid w:val="00D21431"/>
    <w:rsid w:val="00D214C7"/>
    <w:rsid w:val="00D22024"/>
    <w:rsid w:val="00D221E5"/>
    <w:rsid w:val="00D22601"/>
    <w:rsid w:val="00D22687"/>
    <w:rsid w:val="00D227AE"/>
    <w:rsid w:val="00D22FE9"/>
    <w:rsid w:val="00D2350A"/>
    <w:rsid w:val="00D23725"/>
    <w:rsid w:val="00D23A5A"/>
    <w:rsid w:val="00D23F27"/>
    <w:rsid w:val="00D24162"/>
    <w:rsid w:val="00D24740"/>
    <w:rsid w:val="00D24B43"/>
    <w:rsid w:val="00D24CFA"/>
    <w:rsid w:val="00D24DBB"/>
    <w:rsid w:val="00D24FD1"/>
    <w:rsid w:val="00D258EB"/>
    <w:rsid w:val="00D25A98"/>
    <w:rsid w:val="00D25CDA"/>
    <w:rsid w:val="00D25D39"/>
    <w:rsid w:val="00D25DF1"/>
    <w:rsid w:val="00D2681F"/>
    <w:rsid w:val="00D26DA1"/>
    <w:rsid w:val="00D26E61"/>
    <w:rsid w:val="00D26F78"/>
    <w:rsid w:val="00D27144"/>
    <w:rsid w:val="00D279FE"/>
    <w:rsid w:val="00D30CB9"/>
    <w:rsid w:val="00D31281"/>
    <w:rsid w:val="00D31410"/>
    <w:rsid w:val="00D314D6"/>
    <w:rsid w:val="00D31714"/>
    <w:rsid w:val="00D31F45"/>
    <w:rsid w:val="00D3242E"/>
    <w:rsid w:val="00D3267E"/>
    <w:rsid w:val="00D327C4"/>
    <w:rsid w:val="00D3299A"/>
    <w:rsid w:val="00D33597"/>
    <w:rsid w:val="00D33D1E"/>
    <w:rsid w:val="00D33EDC"/>
    <w:rsid w:val="00D33F56"/>
    <w:rsid w:val="00D3464B"/>
    <w:rsid w:val="00D347AC"/>
    <w:rsid w:val="00D34B2E"/>
    <w:rsid w:val="00D34CBF"/>
    <w:rsid w:val="00D352ED"/>
    <w:rsid w:val="00D35542"/>
    <w:rsid w:val="00D3558C"/>
    <w:rsid w:val="00D356EC"/>
    <w:rsid w:val="00D35DEE"/>
    <w:rsid w:val="00D3685A"/>
    <w:rsid w:val="00D36C76"/>
    <w:rsid w:val="00D36D02"/>
    <w:rsid w:val="00D36E11"/>
    <w:rsid w:val="00D37549"/>
    <w:rsid w:val="00D37AF7"/>
    <w:rsid w:val="00D37CD5"/>
    <w:rsid w:val="00D40173"/>
    <w:rsid w:val="00D4087E"/>
    <w:rsid w:val="00D40BC3"/>
    <w:rsid w:val="00D42FCB"/>
    <w:rsid w:val="00D43138"/>
    <w:rsid w:val="00D43167"/>
    <w:rsid w:val="00D436D2"/>
    <w:rsid w:val="00D43983"/>
    <w:rsid w:val="00D43F9C"/>
    <w:rsid w:val="00D44E54"/>
    <w:rsid w:val="00D45068"/>
    <w:rsid w:val="00D450E0"/>
    <w:rsid w:val="00D4538A"/>
    <w:rsid w:val="00D453FC"/>
    <w:rsid w:val="00D45754"/>
    <w:rsid w:val="00D4578E"/>
    <w:rsid w:val="00D45B1E"/>
    <w:rsid w:val="00D45BB7"/>
    <w:rsid w:val="00D45DEE"/>
    <w:rsid w:val="00D46B3B"/>
    <w:rsid w:val="00D46C75"/>
    <w:rsid w:val="00D46EE8"/>
    <w:rsid w:val="00D46FF9"/>
    <w:rsid w:val="00D47955"/>
    <w:rsid w:val="00D47EC3"/>
    <w:rsid w:val="00D50180"/>
    <w:rsid w:val="00D50938"/>
    <w:rsid w:val="00D50DE3"/>
    <w:rsid w:val="00D50E5F"/>
    <w:rsid w:val="00D5138E"/>
    <w:rsid w:val="00D51968"/>
    <w:rsid w:val="00D51979"/>
    <w:rsid w:val="00D51A70"/>
    <w:rsid w:val="00D51E44"/>
    <w:rsid w:val="00D51EFE"/>
    <w:rsid w:val="00D520D9"/>
    <w:rsid w:val="00D521F7"/>
    <w:rsid w:val="00D52376"/>
    <w:rsid w:val="00D52627"/>
    <w:rsid w:val="00D527A3"/>
    <w:rsid w:val="00D528B0"/>
    <w:rsid w:val="00D53417"/>
    <w:rsid w:val="00D53579"/>
    <w:rsid w:val="00D5399E"/>
    <w:rsid w:val="00D53E72"/>
    <w:rsid w:val="00D54252"/>
    <w:rsid w:val="00D54493"/>
    <w:rsid w:val="00D54575"/>
    <w:rsid w:val="00D5547B"/>
    <w:rsid w:val="00D561CD"/>
    <w:rsid w:val="00D56F2F"/>
    <w:rsid w:val="00D571F5"/>
    <w:rsid w:val="00D610DF"/>
    <w:rsid w:val="00D619DD"/>
    <w:rsid w:val="00D61B86"/>
    <w:rsid w:val="00D61C43"/>
    <w:rsid w:val="00D61C45"/>
    <w:rsid w:val="00D61C86"/>
    <w:rsid w:val="00D6203C"/>
    <w:rsid w:val="00D621E6"/>
    <w:rsid w:val="00D6261A"/>
    <w:rsid w:val="00D62E74"/>
    <w:rsid w:val="00D62FEF"/>
    <w:rsid w:val="00D63036"/>
    <w:rsid w:val="00D63486"/>
    <w:rsid w:val="00D63533"/>
    <w:rsid w:val="00D63712"/>
    <w:rsid w:val="00D63B9D"/>
    <w:rsid w:val="00D63BE7"/>
    <w:rsid w:val="00D63E19"/>
    <w:rsid w:val="00D640B7"/>
    <w:rsid w:val="00D641F6"/>
    <w:rsid w:val="00D645F6"/>
    <w:rsid w:val="00D646F3"/>
    <w:rsid w:val="00D64BD8"/>
    <w:rsid w:val="00D64EF5"/>
    <w:rsid w:val="00D65170"/>
    <w:rsid w:val="00D65175"/>
    <w:rsid w:val="00D654AE"/>
    <w:rsid w:val="00D654D3"/>
    <w:rsid w:val="00D654D7"/>
    <w:rsid w:val="00D657AD"/>
    <w:rsid w:val="00D65C7A"/>
    <w:rsid w:val="00D65EC3"/>
    <w:rsid w:val="00D66321"/>
    <w:rsid w:val="00D6662D"/>
    <w:rsid w:val="00D667D5"/>
    <w:rsid w:val="00D66FD9"/>
    <w:rsid w:val="00D66FDA"/>
    <w:rsid w:val="00D6748E"/>
    <w:rsid w:val="00D674EF"/>
    <w:rsid w:val="00D67B01"/>
    <w:rsid w:val="00D701E5"/>
    <w:rsid w:val="00D70741"/>
    <w:rsid w:val="00D709FB"/>
    <w:rsid w:val="00D70D6E"/>
    <w:rsid w:val="00D71178"/>
    <w:rsid w:val="00D71979"/>
    <w:rsid w:val="00D7285E"/>
    <w:rsid w:val="00D729DF"/>
    <w:rsid w:val="00D72A68"/>
    <w:rsid w:val="00D72DE6"/>
    <w:rsid w:val="00D734F3"/>
    <w:rsid w:val="00D73757"/>
    <w:rsid w:val="00D737E2"/>
    <w:rsid w:val="00D7401D"/>
    <w:rsid w:val="00D741BD"/>
    <w:rsid w:val="00D74271"/>
    <w:rsid w:val="00D745D7"/>
    <w:rsid w:val="00D745EC"/>
    <w:rsid w:val="00D747BB"/>
    <w:rsid w:val="00D74A14"/>
    <w:rsid w:val="00D74BE6"/>
    <w:rsid w:val="00D759A2"/>
    <w:rsid w:val="00D75D7E"/>
    <w:rsid w:val="00D75DB4"/>
    <w:rsid w:val="00D764B3"/>
    <w:rsid w:val="00D765D3"/>
    <w:rsid w:val="00D76733"/>
    <w:rsid w:val="00D7673A"/>
    <w:rsid w:val="00D767FE"/>
    <w:rsid w:val="00D773CE"/>
    <w:rsid w:val="00D773D2"/>
    <w:rsid w:val="00D777F4"/>
    <w:rsid w:val="00D77A9A"/>
    <w:rsid w:val="00D77AD0"/>
    <w:rsid w:val="00D80297"/>
    <w:rsid w:val="00D804F5"/>
    <w:rsid w:val="00D80AB8"/>
    <w:rsid w:val="00D80B67"/>
    <w:rsid w:val="00D80FA2"/>
    <w:rsid w:val="00D812D2"/>
    <w:rsid w:val="00D8157F"/>
    <w:rsid w:val="00D81C0D"/>
    <w:rsid w:val="00D81D0C"/>
    <w:rsid w:val="00D8214D"/>
    <w:rsid w:val="00D823AE"/>
    <w:rsid w:val="00D829AC"/>
    <w:rsid w:val="00D82B97"/>
    <w:rsid w:val="00D833B5"/>
    <w:rsid w:val="00D83978"/>
    <w:rsid w:val="00D83F9D"/>
    <w:rsid w:val="00D84246"/>
    <w:rsid w:val="00D844E0"/>
    <w:rsid w:val="00D846F8"/>
    <w:rsid w:val="00D84C76"/>
    <w:rsid w:val="00D84DCF"/>
    <w:rsid w:val="00D85194"/>
    <w:rsid w:val="00D85408"/>
    <w:rsid w:val="00D85A67"/>
    <w:rsid w:val="00D85A74"/>
    <w:rsid w:val="00D85B27"/>
    <w:rsid w:val="00D86026"/>
    <w:rsid w:val="00D860E6"/>
    <w:rsid w:val="00D8643B"/>
    <w:rsid w:val="00D86B8E"/>
    <w:rsid w:val="00D86DCB"/>
    <w:rsid w:val="00D87615"/>
    <w:rsid w:val="00D878C5"/>
    <w:rsid w:val="00D87A4E"/>
    <w:rsid w:val="00D901D9"/>
    <w:rsid w:val="00D90B35"/>
    <w:rsid w:val="00D91326"/>
    <w:rsid w:val="00D914F5"/>
    <w:rsid w:val="00D91508"/>
    <w:rsid w:val="00D9165E"/>
    <w:rsid w:val="00D918AF"/>
    <w:rsid w:val="00D91A73"/>
    <w:rsid w:val="00D91B47"/>
    <w:rsid w:val="00D920DB"/>
    <w:rsid w:val="00D92248"/>
    <w:rsid w:val="00D92254"/>
    <w:rsid w:val="00D922D6"/>
    <w:rsid w:val="00D92596"/>
    <w:rsid w:val="00D925B1"/>
    <w:rsid w:val="00D925C0"/>
    <w:rsid w:val="00D92A03"/>
    <w:rsid w:val="00D931BC"/>
    <w:rsid w:val="00D933D6"/>
    <w:rsid w:val="00D933F1"/>
    <w:rsid w:val="00D93430"/>
    <w:rsid w:val="00D934A5"/>
    <w:rsid w:val="00D93522"/>
    <w:rsid w:val="00D93DDE"/>
    <w:rsid w:val="00D94694"/>
    <w:rsid w:val="00D94E19"/>
    <w:rsid w:val="00D95491"/>
    <w:rsid w:val="00D954C0"/>
    <w:rsid w:val="00D9568E"/>
    <w:rsid w:val="00D95C28"/>
    <w:rsid w:val="00D95F13"/>
    <w:rsid w:val="00D9675E"/>
    <w:rsid w:val="00D96829"/>
    <w:rsid w:val="00D96D85"/>
    <w:rsid w:val="00D96EA2"/>
    <w:rsid w:val="00D96FC6"/>
    <w:rsid w:val="00D97037"/>
    <w:rsid w:val="00D970A8"/>
    <w:rsid w:val="00D977F9"/>
    <w:rsid w:val="00D97837"/>
    <w:rsid w:val="00D9783D"/>
    <w:rsid w:val="00D97CFF"/>
    <w:rsid w:val="00D97D72"/>
    <w:rsid w:val="00DA000B"/>
    <w:rsid w:val="00DA084E"/>
    <w:rsid w:val="00DA0B31"/>
    <w:rsid w:val="00DA0D62"/>
    <w:rsid w:val="00DA0E53"/>
    <w:rsid w:val="00DA1367"/>
    <w:rsid w:val="00DA202D"/>
    <w:rsid w:val="00DA24F6"/>
    <w:rsid w:val="00DA2EDD"/>
    <w:rsid w:val="00DA2FF9"/>
    <w:rsid w:val="00DA3139"/>
    <w:rsid w:val="00DA315B"/>
    <w:rsid w:val="00DA432E"/>
    <w:rsid w:val="00DA46DC"/>
    <w:rsid w:val="00DA4DE2"/>
    <w:rsid w:val="00DA58B3"/>
    <w:rsid w:val="00DA5AE2"/>
    <w:rsid w:val="00DA5DAB"/>
    <w:rsid w:val="00DA5E2F"/>
    <w:rsid w:val="00DA69B0"/>
    <w:rsid w:val="00DA6B47"/>
    <w:rsid w:val="00DA6B62"/>
    <w:rsid w:val="00DA6D88"/>
    <w:rsid w:val="00DA6F01"/>
    <w:rsid w:val="00DA70E0"/>
    <w:rsid w:val="00DA7151"/>
    <w:rsid w:val="00DA74F6"/>
    <w:rsid w:val="00DA78CF"/>
    <w:rsid w:val="00DA7CFC"/>
    <w:rsid w:val="00DA7D76"/>
    <w:rsid w:val="00DB00FA"/>
    <w:rsid w:val="00DB06BE"/>
    <w:rsid w:val="00DB0A3D"/>
    <w:rsid w:val="00DB0B18"/>
    <w:rsid w:val="00DB0CCF"/>
    <w:rsid w:val="00DB0D53"/>
    <w:rsid w:val="00DB0DD0"/>
    <w:rsid w:val="00DB0EFF"/>
    <w:rsid w:val="00DB1305"/>
    <w:rsid w:val="00DB16FA"/>
    <w:rsid w:val="00DB1C6E"/>
    <w:rsid w:val="00DB1E87"/>
    <w:rsid w:val="00DB24C4"/>
    <w:rsid w:val="00DB269E"/>
    <w:rsid w:val="00DB2B2F"/>
    <w:rsid w:val="00DB334C"/>
    <w:rsid w:val="00DB363A"/>
    <w:rsid w:val="00DB3747"/>
    <w:rsid w:val="00DB3A7E"/>
    <w:rsid w:val="00DB4337"/>
    <w:rsid w:val="00DB43CB"/>
    <w:rsid w:val="00DB4735"/>
    <w:rsid w:val="00DB49FB"/>
    <w:rsid w:val="00DB4EC0"/>
    <w:rsid w:val="00DB54B8"/>
    <w:rsid w:val="00DB582E"/>
    <w:rsid w:val="00DB58EC"/>
    <w:rsid w:val="00DB5D2E"/>
    <w:rsid w:val="00DB617B"/>
    <w:rsid w:val="00DB6840"/>
    <w:rsid w:val="00DB68CB"/>
    <w:rsid w:val="00DB6947"/>
    <w:rsid w:val="00DB6CFC"/>
    <w:rsid w:val="00DB7355"/>
    <w:rsid w:val="00DB7643"/>
    <w:rsid w:val="00DB7741"/>
    <w:rsid w:val="00DB7DF7"/>
    <w:rsid w:val="00DC0A06"/>
    <w:rsid w:val="00DC1304"/>
    <w:rsid w:val="00DC1749"/>
    <w:rsid w:val="00DC19B8"/>
    <w:rsid w:val="00DC263C"/>
    <w:rsid w:val="00DC2CD6"/>
    <w:rsid w:val="00DC2EF3"/>
    <w:rsid w:val="00DC2FE4"/>
    <w:rsid w:val="00DC34CE"/>
    <w:rsid w:val="00DC3693"/>
    <w:rsid w:val="00DC387F"/>
    <w:rsid w:val="00DC38FF"/>
    <w:rsid w:val="00DC3902"/>
    <w:rsid w:val="00DC3A4D"/>
    <w:rsid w:val="00DC3D25"/>
    <w:rsid w:val="00DC3D98"/>
    <w:rsid w:val="00DC4B3C"/>
    <w:rsid w:val="00DC52C5"/>
    <w:rsid w:val="00DC536B"/>
    <w:rsid w:val="00DC5481"/>
    <w:rsid w:val="00DC59E4"/>
    <w:rsid w:val="00DC5C3C"/>
    <w:rsid w:val="00DC5C74"/>
    <w:rsid w:val="00DC5CD0"/>
    <w:rsid w:val="00DC5E88"/>
    <w:rsid w:val="00DC617D"/>
    <w:rsid w:val="00DC61DA"/>
    <w:rsid w:val="00DC64F4"/>
    <w:rsid w:val="00DC6B07"/>
    <w:rsid w:val="00DC6EA9"/>
    <w:rsid w:val="00DC74BE"/>
    <w:rsid w:val="00DC772F"/>
    <w:rsid w:val="00DC789D"/>
    <w:rsid w:val="00DC7B6F"/>
    <w:rsid w:val="00DD03B2"/>
    <w:rsid w:val="00DD093F"/>
    <w:rsid w:val="00DD0D9A"/>
    <w:rsid w:val="00DD16D7"/>
    <w:rsid w:val="00DD18DE"/>
    <w:rsid w:val="00DD19A2"/>
    <w:rsid w:val="00DD1E44"/>
    <w:rsid w:val="00DD1EB1"/>
    <w:rsid w:val="00DD20DF"/>
    <w:rsid w:val="00DD22D9"/>
    <w:rsid w:val="00DD24B2"/>
    <w:rsid w:val="00DD2E88"/>
    <w:rsid w:val="00DD2EF5"/>
    <w:rsid w:val="00DD321F"/>
    <w:rsid w:val="00DD42D8"/>
    <w:rsid w:val="00DD49F5"/>
    <w:rsid w:val="00DD526C"/>
    <w:rsid w:val="00DD537F"/>
    <w:rsid w:val="00DD5496"/>
    <w:rsid w:val="00DD5C30"/>
    <w:rsid w:val="00DD5D36"/>
    <w:rsid w:val="00DD6015"/>
    <w:rsid w:val="00DD7016"/>
    <w:rsid w:val="00DD7685"/>
    <w:rsid w:val="00DD7A88"/>
    <w:rsid w:val="00DD7BEF"/>
    <w:rsid w:val="00DE03E3"/>
    <w:rsid w:val="00DE07E3"/>
    <w:rsid w:val="00DE0B4F"/>
    <w:rsid w:val="00DE0CA6"/>
    <w:rsid w:val="00DE1706"/>
    <w:rsid w:val="00DE1CDF"/>
    <w:rsid w:val="00DE1DF4"/>
    <w:rsid w:val="00DE2172"/>
    <w:rsid w:val="00DE275D"/>
    <w:rsid w:val="00DE2893"/>
    <w:rsid w:val="00DE2C81"/>
    <w:rsid w:val="00DE2E58"/>
    <w:rsid w:val="00DE3342"/>
    <w:rsid w:val="00DE38C5"/>
    <w:rsid w:val="00DE3CF6"/>
    <w:rsid w:val="00DE3DC1"/>
    <w:rsid w:val="00DE3F7F"/>
    <w:rsid w:val="00DE4375"/>
    <w:rsid w:val="00DE4401"/>
    <w:rsid w:val="00DE45B9"/>
    <w:rsid w:val="00DE4F35"/>
    <w:rsid w:val="00DE513A"/>
    <w:rsid w:val="00DE51F5"/>
    <w:rsid w:val="00DE5EF4"/>
    <w:rsid w:val="00DE5F99"/>
    <w:rsid w:val="00DE7147"/>
    <w:rsid w:val="00DE7273"/>
    <w:rsid w:val="00DE72A7"/>
    <w:rsid w:val="00DE781D"/>
    <w:rsid w:val="00DE7A2E"/>
    <w:rsid w:val="00DE7B53"/>
    <w:rsid w:val="00DE7EFA"/>
    <w:rsid w:val="00DF0061"/>
    <w:rsid w:val="00DF0929"/>
    <w:rsid w:val="00DF1023"/>
    <w:rsid w:val="00DF142F"/>
    <w:rsid w:val="00DF1F18"/>
    <w:rsid w:val="00DF2008"/>
    <w:rsid w:val="00DF2310"/>
    <w:rsid w:val="00DF2878"/>
    <w:rsid w:val="00DF2A79"/>
    <w:rsid w:val="00DF2D33"/>
    <w:rsid w:val="00DF32DC"/>
    <w:rsid w:val="00DF3368"/>
    <w:rsid w:val="00DF3442"/>
    <w:rsid w:val="00DF351E"/>
    <w:rsid w:val="00DF358D"/>
    <w:rsid w:val="00DF3759"/>
    <w:rsid w:val="00DF38E8"/>
    <w:rsid w:val="00DF3AF9"/>
    <w:rsid w:val="00DF3B37"/>
    <w:rsid w:val="00DF401D"/>
    <w:rsid w:val="00DF435A"/>
    <w:rsid w:val="00DF4C57"/>
    <w:rsid w:val="00DF50B8"/>
    <w:rsid w:val="00DF5392"/>
    <w:rsid w:val="00DF5487"/>
    <w:rsid w:val="00DF567E"/>
    <w:rsid w:val="00DF56FE"/>
    <w:rsid w:val="00DF5CA7"/>
    <w:rsid w:val="00DF63E0"/>
    <w:rsid w:val="00DF6832"/>
    <w:rsid w:val="00DF7517"/>
    <w:rsid w:val="00DF7A03"/>
    <w:rsid w:val="00DF7B07"/>
    <w:rsid w:val="00DF7CCC"/>
    <w:rsid w:val="00E00179"/>
    <w:rsid w:val="00E006D8"/>
    <w:rsid w:val="00E00ABD"/>
    <w:rsid w:val="00E00F43"/>
    <w:rsid w:val="00E00FC1"/>
    <w:rsid w:val="00E01220"/>
    <w:rsid w:val="00E012E3"/>
    <w:rsid w:val="00E0170D"/>
    <w:rsid w:val="00E01A06"/>
    <w:rsid w:val="00E01A64"/>
    <w:rsid w:val="00E01A89"/>
    <w:rsid w:val="00E01BCD"/>
    <w:rsid w:val="00E02473"/>
    <w:rsid w:val="00E02F21"/>
    <w:rsid w:val="00E031C8"/>
    <w:rsid w:val="00E031E2"/>
    <w:rsid w:val="00E03570"/>
    <w:rsid w:val="00E0368B"/>
    <w:rsid w:val="00E03862"/>
    <w:rsid w:val="00E03BF7"/>
    <w:rsid w:val="00E03FAB"/>
    <w:rsid w:val="00E043EB"/>
    <w:rsid w:val="00E05138"/>
    <w:rsid w:val="00E0524E"/>
    <w:rsid w:val="00E052E6"/>
    <w:rsid w:val="00E06341"/>
    <w:rsid w:val="00E06A8E"/>
    <w:rsid w:val="00E06ECF"/>
    <w:rsid w:val="00E10391"/>
    <w:rsid w:val="00E1098F"/>
    <w:rsid w:val="00E112F8"/>
    <w:rsid w:val="00E11338"/>
    <w:rsid w:val="00E115CC"/>
    <w:rsid w:val="00E11B05"/>
    <w:rsid w:val="00E11BF8"/>
    <w:rsid w:val="00E1204F"/>
    <w:rsid w:val="00E126B6"/>
    <w:rsid w:val="00E126DA"/>
    <w:rsid w:val="00E12750"/>
    <w:rsid w:val="00E128A3"/>
    <w:rsid w:val="00E12E23"/>
    <w:rsid w:val="00E13249"/>
    <w:rsid w:val="00E133CB"/>
    <w:rsid w:val="00E13739"/>
    <w:rsid w:val="00E13883"/>
    <w:rsid w:val="00E138F4"/>
    <w:rsid w:val="00E13A70"/>
    <w:rsid w:val="00E13B80"/>
    <w:rsid w:val="00E13CF8"/>
    <w:rsid w:val="00E14502"/>
    <w:rsid w:val="00E148E8"/>
    <w:rsid w:val="00E14C7E"/>
    <w:rsid w:val="00E14D6B"/>
    <w:rsid w:val="00E1570F"/>
    <w:rsid w:val="00E16A3E"/>
    <w:rsid w:val="00E1712D"/>
    <w:rsid w:val="00E17448"/>
    <w:rsid w:val="00E17836"/>
    <w:rsid w:val="00E17CBF"/>
    <w:rsid w:val="00E17D30"/>
    <w:rsid w:val="00E17D31"/>
    <w:rsid w:val="00E204E2"/>
    <w:rsid w:val="00E2080F"/>
    <w:rsid w:val="00E20D08"/>
    <w:rsid w:val="00E210F5"/>
    <w:rsid w:val="00E21191"/>
    <w:rsid w:val="00E21195"/>
    <w:rsid w:val="00E214F1"/>
    <w:rsid w:val="00E21938"/>
    <w:rsid w:val="00E21F24"/>
    <w:rsid w:val="00E2213C"/>
    <w:rsid w:val="00E223BB"/>
    <w:rsid w:val="00E223D1"/>
    <w:rsid w:val="00E22504"/>
    <w:rsid w:val="00E22510"/>
    <w:rsid w:val="00E2287E"/>
    <w:rsid w:val="00E22AC4"/>
    <w:rsid w:val="00E22E10"/>
    <w:rsid w:val="00E22EB0"/>
    <w:rsid w:val="00E2311B"/>
    <w:rsid w:val="00E23196"/>
    <w:rsid w:val="00E232A5"/>
    <w:rsid w:val="00E23612"/>
    <w:rsid w:val="00E23A0D"/>
    <w:rsid w:val="00E23DFD"/>
    <w:rsid w:val="00E24042"/>
    <w:rsid w:val="00E25031"/>
    <w:rsid w:val="00E25378"/>
    <w:rsid w:val="00E25D1F"/>
    <w:rsid w:val="00E25E6C"/>
    <w:rsid w:val="00E2673A"/>
    <w:rsid w:val="00E26B17"/>
    <w:rsid w:val="00E26B72"/>
    <w:rsid w:val="00E26F51"/>
    <w:rsid w:val="00E26FF6"/>
    <w:rsid w:val="00E27303"/>
    <w:rsid w:val="00E27663"/>
    <w:rsid w:val="00E27725"/>
    <w:rsid w:val="00E278F4"/>
    <w:rsid w:val="00E27930"/>
    <w:rsid w:val="00E27993"/>
    <w:rsid w:val="00E27B34"/>
    <w:rsid w:val="00E27D11"/>
    <w:rsid w:val="00E27E25"/>
    <w:rsid w:val="00E30A1D"/>
    <w:rsid w:val="00E311FF"/>
    <w:rsid w:val="00E317B8"/>
    <w:rsid w:val="00E31D94"/>
    <w:rsid w:val="00E3280B"/>
    <w:rsid w:val="00E328BF"/>
    <w:rsid w:val="00E328C8"/>
    <w:rsid w:val="00E32B9B"/>
    <w:rsid w:val="00E32C95"/>
    <w:rsid w:val="00E32E3A"/>
    <w:rsid w:val="00E331F2"/>
    <w:rsid w:val="00E33212"/>
    <w:rsid w:val="00E33923"/>
    <w:rsid w:val="00E33BC8"/>
    <w:rsid w:val="00E33D2F"/>
    <w:rsid w:val="00E34377"/>
    <w:rsid w:val="00E34884"/>
    <w:rsid w:val="00E348DC"/>
    <w:rsid w:val="00E34938"/>
    <w:rsid w:val="00E34952"/>
    <w:rsid w:val="00E34977"/>
    <w:rsid w:val="00E34D15"/>
    <w:rsid w:val="00E3534E"/>
    <w:rsid w:val="00E35376"/>
    <w:rsid w:val="00E356F3"/>
    <w:rsid w:val="00E35A91"/>
    <w:rsid w:val="00E36F68"/>
    <w:rsid w:val="00E374FE"/>
    <w:rsid w:val="00E37A5E"/>
    <w:rsid w:val="00E37DFF"/>
    <w:rsid w:val="00E37E3F"/>
    <w:rsid w:val="00E37EEC"/>
    <w:rsid w:val="00E400DD"/>
    <w:rsid w:val="00E40608"/>
    <w:rsid w:val="00E4092E"/>
    <w:rsid w:val="00E4135E"/>
    <w:rsid w:val="00E41639"/>
    <w:rsid w:val="00E417AE"/>
    <w:rsid w:val="00E41831"/>
    <w:rsid w:val="00E41B2D"/>
    <w:rsid w:val="00E41F4F"/>
    <w:rsid w:val="00E42016"/>
    <w:rsid w:val="00E425C1"/>
    <w:rsid w:val="00E42FC4"/>
    <w:rsid w:val="00E43501"/>
    <w:rsid w:val="00E4353E"/>
    <w:rsid w:val="00E437C0"/>
    <w:rsid w:val="00E43BF3"/>
    <w:rsid w:val="00E43D1C"/>
    <w:rsid w:val="00E43DD5"/>
    <w:rsid w:val="00E44441"/>
    <w:rsid w:val="00E447AC"/>
    <w:rsid w:val="00E447BB"/>
    <w:rsid w:val="00E45487"/>
    <w:rsid w:val="00E45566"/>
    <w:rsid w:val="00E45657"/>
    <w:rsid w:val="00E45FB0"/>
    <w:rsid w:val="00E46598"/>
    <w:rsid w:val="00E46D94"/>
    <w:rsid w:val="00E46E0D"/>
    <w:rsid w:val="00E5010F"/>
    <w:rsid w:val="00E50255"/>
    <w:rsid w:val="00E50680"/>
    <w:rsid w:val="00E506FE"/>
    <w:rsid w:val="00E508FF"/>
    <w:rsid w:val="00E51AE1"/>
    <w:rsid w:val="00E51BEF"/>
    <w:rsid w:val="00E5222B"/>
    <w:rsid w:val="00E5238D"/>
    <w:rsid w:val="00E52415"/>
    <w:rsid w:val="00E52914"/>
    <w:rsid w:val="00E5373F"/>
    <w:rsid w:val="00E53854"/>
    <w:rsid w:val="00E53971"/>
    <w:rsid w:val="00E539E6"/>
    <w:rsid w:val="00E53C13"/>
    <w:rsid w:val="00E53C55"/>
    <w:rsid w:val="00E53CF1"/>
    <w:rsid w:val="00E540D8"/>
    <w:rsid w:val="00E541A6"/>
    <w:rsid w:val="00E542A9"/>
    <w:rsid w:val="00E54320"/>
    <w:rsid w:val="00E543ED"/>
    <w:rsid w:val="00E54B36"/>
    <w:rsid w:val="00E554CD"/>
    <w:rsid w:val="00E55A13"/>
    <w:rsid w:val="00E55C9C"/>
    <w:rsid w:val="00E5613D"/>
    <w:rsid w:val="00E56F38"/>
    <w:rsid w:val="00E5714F"/>
    <w:rsid w:val="00E576BB"/>
    <w:rsid w:val="00E578D1"/>
    <w:rsid w:val="00E6045A"/>
    <w:rsid w:val="00E61F3C"/>
    <w:rsid w:val="00E6203B"/>
    <w:rsid w:val="00E623D7"/>
    <w:rsid w:val="00E62434"/>
    <w:rsid w:val="00E624CA"/>
    <w:rsid w:val="00E62A0E"/>
    <w:rsid w:val="00E62D4F"/>
    <w:rsid w:val="00E62D50"/>
    <w:rsid w:val="00E62ED9"/>
    <w:rsid w:val="00E63471"/>
    <w:rsid w:val="00E6356F"/>
    <w:rsid w:val="00E637AA"/>
    <w:rsid w:val="00E64150"/>
    <w:rsid w:val="00E641B7"/>
    <w:rsid w:val="00E642F4"/>
    <w:rsid w:val="00E646CB"/>
    <w:rsid w:val="00E6481F"/>
    <w:rsid w:val="00E649A0"/>
    <w:rsid w:val="00E65540"/>
    <w:rsid w:val="00E65720"/>
    <w:rsid w:val="00E65A29"/>
    <w:rsid w:val="00E65DE1"/>
    <w:rsid w:val="00E663A7"/>
    <w:rsid w:val="00E663CD"/>
    <w:rsid w:val="00E664C1"/>
    <w:rsid w:val="00E66DC5"/>
    <w:rsid w:val="00E66DE8"/>
    <w:rsid w:val="00E66E55"/>
    <w:rsid w:val="00E6738D"/>
    <w:rsid w:val="00E67574"/>
    <w:rsid w:val="00E67C73"/>
    <w:rsid w:val="00E67D55"/>
    <w:rsid w:val="00E67E6D"/>
    <w:rsid w:val="00E70677"/>
    <w:rsid w:val="00E7081E"/>
    <w:rsid w:val="00E70E6B"/>
    <w:rsid w:val="00E70EE7"/>
    <w:rsid w:val="00E71206"/>
    <w:rsid w:val="00E71858"/>
    <w:rsid w:val="00E718DB"/>
    <w:rsid w:val="00E71971"/>
    <w:rsid w:val="00E719E6"/>
    <w:rsid w:val="00E720DC"/>
    <w:rsid w:val="00E72154"/>
    <w:rsid w:val="00E7256D"/>
    <w:rsid w:val="00E727A1"/>
    <w:rsid w:val="00E72E3D"/>
    <w:rsid w:val="00E72F3F"/>
    <w:rsid w:val="00E73082"/>
    <w:rsid w:val="00E73276"/>
    <w:rsid w:val="00E73406"/>
    <w:rsid w:val="00E73ABC"/>
    <w:rsid w:val="00E73AED"/>
    <w:rsid w:val="00E73DB2"/>
    <w:rsid w:val="00E73E59"/>
    <w:rsid w:val="00E7450F"/>
    <w:rsid w:val="00E74783"/>
    <w:rsid w:val="00E75204"/>
    <w:rsid w:val="00E75280"/>
    <w:rsid w:val="00E75293"/>
    <w:rsid w:val="00E754AA"/>
    <w:rsid w:val="00E75BD2"/>
    <w:rsid w:val="00E75C2F"/>
    <w:rsid w:val="00E76270"/>
    <w:rsid w:val="00E765B1"/>
    <w:rsid w:val="00E7665A"/>
    <w:rsid w:val="00E76670"/>
    <w:rsid w:val="00E766A9"/>
    <w:rsid w:val="00E766BE"/>
    <w:rsid w:val="00E7712C"/>
    <w:rsid w:val="00E772C4"/>
    <w:rsid w:val="00E77594"/>
    <w:rsid w:val="00E77DB6"/>
    <w:rsid w:val="00E80856"/>
    <w:rsid w:val="00E80868"/>
    <w:rsid w:val="00E80E0C"/>
    <w:rsid w:val="00E811D5"/>
    <w:rsid w:val="00E81415"/>
    <w:rsid w:val="00E81513"/>
    <w:rsid w:val="00E81BE4"/>
    <w:rsid w:val="00E824B7"/>
    <w:rsid w:val="00E824C4"/>
    <w:rsid w:val="00E82504"/>
    <w:rsid w:val="00E8250E"/>
    <w:rsid w:val="00E82552"/>
    <w:rsid w:val="00E825B4"/>
    <w:rsid w:val="00E8307E"/>
    <w:rsid w:val="00E832AA"/>
    <w:rsid w:val="00E832BF"/>
    <w:rsid w:val="00E8357F"/>
    <w:rsid w:val="00E8359A"/>
    <w:rsid w:val="00E84361"/>
    <w:rsid w:val="00E845FB"/>
    <w:rsid w:val="00E8482C"/>
    <w:rsid w:val="00E84980"/>
    <w:rsid w:val="00E84AF1"/>
    <w:rsid w:val="00E84C79"/>
    <w:rsid w:val="00E84CA2"/>
    <w:rsid w:val="00E84E30"/>
    <w:rsid w:val="00E85706"/>
    <w:rsid w:val="00E85735"/>
    <w:rsid w:val="00E862F4"/>
    <w:rsid w:val="00E86954"/>
    <w:rsid w:val="00E87F2F"/>
    <w:rsid w:val="00E9015F"/>
    <w:rsid w:val="00E9054D"/>
    <w:rsid w:val="00E90A64"/>
    <w:rsid w:val="00E90CCF"/>
    <w:rsid w:val="00E90E82"/>
    <w:rsid w:val="00E9115A"/>
    <w:rsid w:val="00E91322"/>
    <w:rsid w:val="00E91671"/>
    <w:rsid w:val="00E917C2"/>
    <w:rsid w:val="00E91B93"/>
    <w:rsid w:val="00E91CE8"/>
    <w:rsid w:val="00E9232C"/>
    <w:rsid w:val="00E92692"/>
    <w:rsid w:val="00E92896"/>
    <w:rsid w:val="00E92ADF"/>
    <w:rsid w:val="00E9355E"/>
    <w:rsid w:val="00E93D05"/>
    <w:rsid w:val="00E94452"/>
    <w:rsid w:val="00E948D7"/>
    <w:rsid w:val="00E94EC6"/>
    <w:rsid w:val="00E9553C"/>
    <w:rsid w:val="00E95728"/>
    <w:rsid w:val="00E95786"/>
    <w:rsid w:val="00E95C89"/>
    <w:rsid w:val="00E96327"/>
    <w:rsid w:val="00E965CA"/>
    <w:rsid w:val="00E96809"/>
    <w:rsid w:val="00E96936"/>
    <w:rsid w:val="00E96978"/>
    <w:rsid w:val="00E969A9"/>
    <w:rsid w:val="00E96D10"/>
    <w:rsid w:val="00E96E8E"/>
    <w:rsid w:val="00E971E5"/>
    <w:rsid w:val="00E9724E"/>
    <w:rsid w:val="00E97911"/>
    <w:rsid w:val="00E97AA6"/>
    <w:rsid w:val="00E97B17"/>
    <w:rsid w:val="00EA0022"/>
    <w:rsid w:val="00EA039A"/>
    <w:rsid w:val="00EA0433"/>
    <w:rsid w:val="00EA0BC3"/>
    <w:rsid w:val="00EA0E92"/>
    <w:rsid w:val="00EA148D"/>
    <w:rsid w:val="00EA158E"/>
    <w:rsid w:val="00EA1811"/>
    <w:rsid w:val="00EA2047"/>
    <w:rsid w:val="00EA2383"/>
    <w:rsid w:val="00EA27EE"/>
    <w:rsid w:val="00EA2AD3"/>
    <w:rsid w:val="00EA3273"/>
    <w:rsid w:val="00EA32E9"/>
    <w:rsid w:val="00EA383A"/>
    <w:rsid w:val="00EA4027"/>
    <w:rsid w:val="00EA42FF"/>
    <w:rsid w:val="00EA43BF"/>
    <w:rsid w:val="00EA5314"/>
    <w:rsid w:val="00EA5358"/>
    <w:rsid w:val="00EA5368"/>
    <w:rsid w:val="00EA56ED"/>
    <w:rsid w:val="00EA5746"/>
    <w:rsid w:val="00EA574A"/>
    <w:rsid w:val="00EA5F26"/>
    <w:rsid w:val="00EA61B4"/>
    <w:rsid w:val="00EA6A5A"/>
    <w:rsid w:val="00EA6DF2"/>
    <w:rsid w:val="00EA7026"/>
    <w:rsid w:val="00EA75AA"/>
    <w:rsid w:val="00EA761F"/>
    <w:rsid w:val="00EA7654"/>
    <w:rsid w:val="00EA7E04"/>
    <w:rsid w:val="00EB0035"/>
    <w:rsid w:val="00EB01A9"/>
    <w:rsid w:val="00EB036F"/>
    <w:rsid w:val="00EB0FCB"/>
    <w:rsid w:val="00EB119E"/>
    <w:rsid w:val="00EB15E6"/>
    <w:rsid w:val="00EB1882"/>
    <w:rsid w:val="00EB1B89"/>
    <w:rsid w:val="00EB1C1F"/>
    <w:rsid w:val="00EB1E1C"/>
    <w:rsid w:val="00EB257E"/>
    <w:rsid w:val="00EB2607"/>
    <w:rsid w:val="00EB2B2E"/>
    <w:rsid w:val="00EB2B88"/>
    <w:rsid w:val="00EB2CEE"/>
    <w:rsid w:val="00EB30B5"/>
    <w:rsid w:val="00EB38D0"/>
    <w:rsid w:val="00EB3C37"/>
    <w:rsid w:val="00EB3FFB"/>
    <w:rsid w:val="00EB4320"/>
    <w:rsid w:val="00EB49F7"/>
    <w:rsid w:val="00EB4F1F"/>
    <w:rsid w:val="00EB5640"/>
    <w:rsid w:val="00EB5800"/>
    <w:rsid w:val="00EB5808"/>
    <w:rsid w:val="00EB6BD9"/>
    <w:rsid w:val="00EB74A2"/>
    <w:rsid w:val="00EB786D"/>
    <w:rsid w:val="00EB79AB"/>
    <w:rsid w:val="00EB7ABC"/>
    <w:rsid w:val="00EB7AEA"/>
    <w:rsid w:val="00EC00CB"/>
    <w:rsid w:val="00EC0367"/>
    <w:rsid w:val="00EC0869"/>
    <w:rsid w:val="00EC0A67"/>
    <w:rsid w:val="00EC1963"/>
    <w:rsid w:val="00EC1DD2"/>
    <w:rsid w:val="00EC1F68"/>
    <w:rsid w:val="00EC259D"/>
    <w:rsid w:val="00EC268F"/>
    <w:rsid w:val="00EC28E4"/>
    <w:rsid w:val="00EC31E0"/>
    <w:rsid w:val="00EC3538"/>
    <w:rsid w:val="00EC35B8"/>
    <w:rsid w:val="00EC36B8"/>
    <w:rsid w:val="00EC3AC2"/>
    <w:rsid w:val="00EC3F95"/>
    <w:rsid w:val="00EC43EF"/>
    <w:rsid w:val="00EC44EF"/>
    <w:rsid w:val="00EC4940"/>
    <w:rsid w:val="00EC5183"/>
    <w:rsid w:val="00EC52D8"/>
    <w:rsid w:val="00EC6396"/>
    <w:rsid w:val="00EC6CB6"/>
    <w:rsid w:val="00EC6D2B"/>
    <w:rsid w:val="00EC6E9C"/>
    <w:rsid w:val="00EC6F6A"/>
    <w:rsid w:val="00EC7074"/>
    <w:rsid w:val="00EC7157"/>
    <w:rsid w:val="00EC71E2"/>
    <w:rsid w:val="00EC753C"/>
    <w:rsid w:val="00EC761E"/>
    <w:rsid w:val="00EC76A2"/>
    <w:rsid w:val="00EC799A"/>
    <w:rsid w:val="00ED0B82"/>
    <w:rsid w:val="00ED1C0E"/>
    <w:rsid w:val="00ED1F7D"/>
    <w:rsid w:val="00ED1FBE"/>
    <w:rsid w:val="00ED2007"/>
    <w:rsid w:val="00ED24EC"/>
    <w:rsid w:val="00ED2592"/>
    <w:rsid w:val="00ED28BF"/>
    <w:rsid w:val="00ED2AE0"/>
    <w:rsid w:val="00ED2CAF"/>
    <w:rsid w:val="00ED3683"/>
    <w:rsid w:val="00ED42C4"/>
    <w:rsid w:val="00ED4355"/>
    <w:rsid w:val="00ED44B8"/>
    <w:rsid w:val="00ED450A"/>
    <w:rsid w:val="00ED4A92"/>
    <w:rsid w:val="00ED5059"/>
    <w:rsid w:val="00ED524A"/>
    <w:rsid w:val="00ED5310"/>
    <w:rsid w:val="00ED5532"/>
    <w:rsid w:val="00ED55D7"/>
    <w:rsid w:val="00ED5889"/>
    <w:rsid w:val="00ED5B6B"/>
    <w:rsid w:val="00ED5ED0"/>
    <w:rsid w:val="00ED68A8"/>
    <w:rsid w:val="00ED6938"/>
    <w:rsid w:val="00ED6C58"/>
    <w:rsid w:val="00ED70B5"/>
    <w:rsid w:val="00ED7588"/>
    <w:rsid w:val="00ED7DD7"/>
    <w:rsid w:val="00EE00FD"/>
    <w:rsid w:val="00EE05BB"/>
    <w:rsid w:val="00EE0617"/>
    <w:rsid w:val="00EE0DF6"/>
    <w:rsid w:val="00EE1202"/>
    <w:rsid w:val="00EE12A1"/>
    <w:rsid w:val="00EE16B9"/>
    <w:rsid w:val="00EE1713"/>
    <w:rsid w:val="00EE177C"/>
    <w:rsid w:val="00EE1E47"/>
    <w:rsid w:val="00EE2346"/>
    <w:rsid w:val="00EE24C2"/>
    <w:rsid w:val="00EE2A87"/>
    <w:rsid w:val="00EE2CF4"/>
    <w:rsid w:val="00EE2FA6"/>
    <w:rsid w:val="00EE3352"/>
    <w:rsid w:val="00EE3434"/>
    <w:rsid w:val="00EE34EA"/>
    <w:rsid w:val="00EE3815"/>
    <w:rsid w:val="00EE389F"/>
    <w:rsid w:val="00EE3B34"/>
    <w:rsid w:val="00EE4E5F"/>
    <w:rsid w:val="00EE503D"/>
    <w:rsid w:val="00EE50C0"/>
    <w:rsid w:val="00EE5360"/>
    <w:rsid w:val="00EE546F"/>
    <w:rsid w:val="00EE5701"/>
    <w:rsid w:val="00EE63D7"/>
    <w:rsid w:val="00EE6768"/>
    <w:rsid w:val="00EE6A1F"/>
    <w:rsid w:val="00EE6DB8"/>
    <w:rsid w:val="00EE6F04"/>
    <w:rsid w:val="00EE71EF"/>
    <w:rsid w:val="00EE756F"/>
    <w:rsid w:val="00EE7AE2"/>
    <w:rsid w:val="00EE7B2A"/>
    <w:rsid w:val="00EE7F89"/>
    <w:rsid w:val="00EF01D4"/>
    <w:rsid w:val="00EF0790"/>
    <w:rsid w:val="00EF082F"/>
    <w:rsid w:val="00EF102D"/>
    <w:rsid w:val="00EF18EC"/>
    <w:rsid w:val="00EF26D7"/>
    <w:rsid w:val="00EF2811"/>
    <w:rsid w:val="00EF2CD0"/>
    <w:rsid w:val="00EF31C2"/>
    <w:rsid w:val="00EF3D10"/>
    <w:rsid w:val="00EF3D5E"/>
    <w:rsid w:val="00EF3E3E"/>
    <w:rsid w:val="00EF3FBB"/>
    <w:rsid w:val="00EF49BC"/>
    <w:rsid w:val="00EF4C8E"/>
    <w:rsid w:val="00EF4D40"/>
    <w:rsid w:val="00EF4FE2"/>
    <w:rsid w:val="00EF52F3"/>
    <w:rsid w:val="00EF55FC"/>
    <w:rsid w:val="00EF59EF"/>
    <w:rsid w:val="00EF61F0"/>
    <w:rsid w:val="00EF62C2"/>
    <w:rsid w:val="00EF6563"/>
    <w:rsid w:val="00EF682D"/>
    <w:rsid w:val="00EF6943"/>
    <w:rsid w:val="00EF6C66"/>
    <w:rsid w:val="00EF6D69"/>
    <w:rsid w:val="00EF79B5"/>
    <w:rsid w:val="00EF7F72"/>
    <w:rsid w:val="00F0040D"/>
    <w:rsid w:val="00F00429"/>
    <w:rsid w:val="00F00A3F"/>
    <w:rsid w:val="00F010B4"/>
    <w:rsid w:val="00F01468"/>
    <w:rsid w:val="00F015C3"/>
    <w:rsid w:val="00F0186F"/>
    <w:rsid w:val="00F01877"/>
    <w:rsid w:val="00F01B7B"/>
    <w:rsid w:val="00F0232B"/>
    <w:rsid w:val="00F023C7"/>
    <w:rsid w:val="00F023CA"/>
    <w:rsid w:val="00F024AD"/>
    <w:rsid w:val="00F0261D"/>
    <w:rsid w:val="00F02849"/>
    <w:rsid w:val="00F02867"/>
    <w:rsid w:val="00F028F4"/>
    <w:rsid w:val="00F02C2A"/>
    <w:rsid w:val="00F02FDA"/>
    <w:rsid w:val="00F039BF"/>
    <w:rsid w:val="00F03B04"/>
    <w:rsid w:val="00F04393"/>
    <w:rsid w:val="00F043F9"/>
    <w:rsid w:val="00F0466B"/>
    <w:rsid w:val="00F04E87"/>
    <w:rsid w:val="00F04F5C"/>
    <w:rsid w:val="00F051A6"/>
    <w:rsid w:val="00F053CD"/>
    <w:rsid w:val="00F05583"/>
    <w:rsid w:val="00F05622"/>
    <w:rsid w:val="00F057F5"/>
    <w:rsid w:val="00F05C3F"/>
    <w:rsid w:val="00F05D86"/>
    <w:rsid w:val="00F06237"/>
    <w:rsid w:val="00F062B6"/>
    <w:rsid w:val="00F062C4"/>
    <w:rsid w:val="00F06479"/>
    <w:rsid w:val="00F0681F"/>
    <w:rsid w:val="00F06CD5"/>
    <w:rsid w:val="00F06EBD"/>
    <w:rsid w:val="00F07083"/>
    <w:rsid w:val="00F077C5"/>
    <w:rsid w:val="00F079A6"/>
    <w:rsid w:val="00F1060A"/>
    <w:rsid w:val="00F108F1"/>
    <w:rsid w:val="00F10B4D"/>
    <w:rsid w:val="00F11083"/>
    <w:rsid w:val="00F11388"/>
    <w:rsid w:val="00F11593"/>
    <w:rsid w:val="00F11EFD"/>
    <w:rsid w:val="00F12068"/>
    <w:rsid w:val="00F121FA"/>
    <w:rsid w:val="00F12213"/>
    <w:rsid w:val="00F12C51"/>
    <w:rsid w:val="00F130DF"/>
    <w:rsid w:val="00F13147"/>
    <w:rsid w:val="00F13572"/>
    <w:rsid w:val="00F135A0"/>
    <w:rsid w:val="00F13927"/>
    <w:rsid w:val="00F13C23"/>
    <w:rsid w:val="00F14244"/>
    <w:rsid w:val="00F14A61"/>
    <w:rsid w:val="00F1509B"/>
    <w:rsid w:val="00F15F6A"/>
    <w:rsid w:val="00F1669B"/>
    <w:rsid w:val="00F16ADE"/>
    <w:rsid w:val="00F16B74"/>
    <w:rsid w:val="00F16E27"/>
    <w:rsid w:val="00F16F03"/>
    <w:rsid w:val="00F16F21"/>
    <w:rsid w:val="00F17162"/>
    <w:rsid w:val="00F17968"/>
    <w:rsid w:val="00F204AA"/>
    <w:rsid w:val="00F20DF3"/>
    <w:rsid w:val="00F21403"/>
    <w:rsid w:val="00F21C66"/>
    <w:rsid w:val="00F21E33"/>
    <w:rsid w:val="00F21FCB"/>
    <w:rsid w:val="00F221CD"/>
    <w:rsid w:val="00F22447"/>
    <w:rsid w:val="00F22645"/>
    <w:rsid w:val="00F22FE5"/>
    <w:rsid w:val="00F2351D"/>
    <w:rsid w:val="00F239CF"/>
    <w:rsid w:val="00F23CA2"/>
    <w:rsid w:val="00F23E71"/>
    <w:rsid w:val="00F24856"/>
    <w:rsid w:val="00F25096"/>
    <w:rsid w:val="00F2533E"/>
    <w:rsid w:val="00F25486"/>
    <w:rsid w:val="00F25694"/>
    <w:rsid w:val="00F257DB"/>
    <w:rsid w:val="00F25A7D"/>
    <w:rsid w:val="00F25B6F"/>
    <w:rsid w:val="00F25DDA"/>
    <w:rsid w:val="00F25E7E"/>
    <w:rsid w:val="00F26EB5"/>
    <w:rsid w:val="00F26F11"/>
    <w:rsid w:val="00F26FDC"/>
    <w:rsid w:val="00F2757D"/>
    <w:rsid w:val="00F275DB"/>
    <w:rsid w:val="00F27831"/>
    <w:rsid w:val="00F27BCD"/>
    <w:rsid w:val="00F301E3"/>
    <w:rsid w:val="00F302B1"/>
    <w:rsid w:val="00F3030E"/>
    <w:rsid w:val="00F30385"/>
    <w:rsid w:val="00F3059B"/>
    <w:rsid w:val="00F30A14"/>
    <w:rsid w:val="00F30ECD"/>
    <w:rsid w:val="00F3102A"/>
    <w:rsid w:val="00F310D1"/>
    <w:rsid w:val="00F31384"/>
    <w:rsid w:val="00F314E9"/>
    <w:rsid w:val="00F31D07"/>
    <w:rsid w:val="00F31E88"/>
    <w:rsid w:val="00F320F3"/>
    <w:rsid w:val="00F33377"/>
    <w:rsid w:val="00F3372E"/>
    <w:rsid w:val="00F338F2"/>
    <w:rsid w:val="00F33A2F"/>
    <w:rsid w:val="00F33AA6"/>
    <w:rsid w:val="00F33C08"/>
    <w:rsid w:val="00F33C13"/>
    <w:rsid w:val="00F34064"/>
    <w:rsid w:val="00F34118"/>
    <w:rsid w:val="00F342B7"/>
    <w:rsid w:val="00F34976"/>
    <w:rsid w:val="00F35E83"/>
    <w:rsid w:val="00F36999"/>
    <w:rsid w:val="00F36A3C"/>
    <w:rsid w:val="00F36CB5"/>
    <w:rsid w:val="00F36CB8"/>
    <w:rsid w:val="00F36CC4"/>
    <w:rsid w:val="00F37045"/>
    <w:rsid w:val="00F3731E"/>
    <w:rsid w:val="00F3744D"/>
    <w:rsid w:val="00F377EA"/>
    <w:rsid w:val="00F37B3C"/>
    <w:rsid w:val="00F37C27"/>
    <w:rsid w:val="00F37FC9"/>
    <w:rsid w:val="00F40478"/>
    <w:rsid w:val="00F408BE"/>
    <w:rsid w:val="00F409B7"/>
    <w:rsid w:val="00F40A02"/>
    <w:rsid w:val="00F40BC0"/>
    <w:rsid w:val="00F40DC1"/>
    <w:rsid w:val="00F413FF"/>
    <w:rsid w:val="00F415DA"/>
    <w:rsid w:val="00F4183C"/>
    <w:rsid w:val="00F419FE"/>
    <w:rsid w:val="00F420D9"/>
    <w:rsid w:val="00F42761"/>
    <w:rsid w:val="00F42A2A"/>
    <w:rsid w:val="00F43405"/>
    <w:rsid w:val="00F43D25"/>
    <w:rsid w:val="00F44296"/>
    <w:rsid w:val="00F447D5"/>
    <w:rsid w:val="00F4486A"/>
    <w:rsid w:val="00F44956"/>
    <w:rsid w:val="00F456E3"/>
    <w:rsid w:val="00F45716"/>
    <w:rsid w:val="00F4591F"/>
    <w:rsid w:val="00F45C55"/>
    <w:rsid w:val="00F46643"/>
    <w:rsid w:val="00F467D7"/>
    <w:rsid w:val="00F46958"/>
    <w:rsid w:val="00F46B19"/>
    <w:rsid w:val="00F471D8"/>
    <w:rsid w:val="00F472D4"/>
    <w:rsid w:val="00F47442"/>
    <w:rsid w:val="00F477FE"/>
    <w:rsid w:val="00F478F9"/>
    <w:rsid w:val="00F5024E"/>
    <w:rsid w:val="00F50729"/>
    <w:rsid w:val="00F50AD3"/>
    <w:rsid w:val="00F51888"/>
    <w:rsid w:val="00F51CAA"/>
    <w:rsid w:val="00F52099"/>
    <w:rsid w:val="00F52235"/>
    <w:rsid w:val="00F52A7D"/>
    <w:rsid w:val="00F52BFB"/>
    <w:rsid w:val="00F52CED"/>
    <w:rsid w:val="00F52E1C"/>
    <w:rsid w:val="00F52E2F"/>
    <w:rsid w:val="00F52F7E"/>
    <w:rsid w:val="00F53657"/>
    <w:rsid w:val="00F53A5C"/>
    <w:rsid w:val="00F5408D"/>
    <w:rsid w:val="00F54349"/>
    <w:rsid w:val="00F54400"/>
    <w:rsid w:val="00F5490E"/>
    <w:rsid w:val="00F54E38"/>
    <w:rsid w:val="00F5539E"/>
    <w:rsid w:val="00F553FB"/>
    <w:rsid w:val="00F55448"/>
    <w:rsid w:val="00F55911"/>
    <w:rsid w:val="00F5603C"/>
    <w:rsid w:val="00F56818"/>
    <w:rsid w:val="00F56A3D"/>
    <w:rsid w:val="00F56B9F"/>
    <w:rsid w:val="00F56DC6"/>
    <w:rsid w:val="00F57335"/>
    <w:rsid w:val="00F57778"/>
    <w:rsid w:val="00F57904"/>
    <w:rsid w:val="00F60CFF"/>
    <w:rsid w:val="00F60D59"/>
    <w:rsid w:val="00F60EB1"/>
    <w:rsid w:val="00F610D1"/>
    <w:rsid w:val="00F61510"/>
    <w:rsid w:val="00F61C24"/>
    <w:rsid w:val="00F61CDC"/>
    <w:rsid w:val="00F61D79"/>
    <w:rsid w:val="00F62A27"/>
    <w:rsid w:val="00F6336C"/>
    <w:rsid w:val="00F63902"/>
    <w:rsid w:val="00F6393C"/>
    <w:rsid w:val="00F642BF"/>
    <w:rsid w:val="00F642F8"/>
    <w:rsid w:val="00F64DBA"/>
    <w:rsid w:val="00F64F90"/>
    <w:rsid w:val="00F65507"/>
    <w:rsid w:val="00F65986"/>
    <w:rsid w:val="00F65A47"/>
    <w:rsid w:val="00F65DCC"/>
    <w:rsid w:val="00F65E3B"/>
    <w:rsid w:val="00F66260"/>
    <w:rsid w:val="00F67161"/>
    <w:rsid w:val="00F677DD"/>
    <w:rsid w:val="00F6791C"/>
    <w:rsid w:val="00F67AB8"/>
    <w:rsid w:val="00F67BD1"/>
    <w:rsid w:val="00F67F4C"/>
    <w:rsid w:val="00F70247"/>
    <w:rsid w:val="00F70535"/>
    <w:rsid w:val="00F7080E"/>
    <w:rsid w:val="00F71159"/>
    <w:rsid w:val="00F717AC"/>
    <w:rsid w:val="00F71C76"/>
    <w:rsid w:val="00F720CA"/>
    <w:rsid w:val="00F7281F"/>
    <w:rsid w:val="00F72B84"/>
    <w:rsid w:val="00F72EC4"/>
    <w:rsid w:val="00F739B2"/>
    <w:rsid w:val="00F7414F"/>
    <w:rsid w:val="00F745EF"/>
    <w:rsid w:val="00F74601"/>
    <w:rsid w:val="00F7463D"/>
    <w:rsid w:val="00F74837"/>
    <w:rsid w:val="00F74914"/>
    <w:rsid w:val="00F74A49"/>
    <w:rsid w:val="00F74F45"/>
    <w:rsid w:val="00F75223"/>
    <w:rsid w:val="00F75632"/>
    <w:rsid w:val="00F75812"/>
    <w:rsid w:val="00F759A9"/>
    <w:rsid w:val="00F75A72"/>
    <w:rsid w:val="00F75B39"/>
    <w:rsid w:val="00F7613B"/>
    <w:rsid w:val="00F771C0"/>
    <w:rsid w:val="00F77B79"/>
    <w:rsid w:val="00F77C11"/>
    <w:rsid w:val="00F77D0D"/>
    <w:rsid w:val="00F800CB"/>
    <w:rsid w:val="00F805A0"/>
    <w:rsid w:val="00F805B6"/>
    <w:rsid w:val="00F806AE"/>
    <w:rsid w:val="00F80D8E"/>
    <w:rsid w:val="00F80E80"/>
    <w:rsid w:val="00F810C9"/>
    <w:rsid w:val="00F811A8"/>
    <w:rsid w:val="00F81384"/>
    <w:rsid w:val="00F81589"/>
    <w:rsid w:val="00F81636"/>
    <w:rsid w:val="00F81AE7"/>
    <w:rsid w:val="00F81AFE"/>
    <w:rsid w:val="00F81CE9"/>
    <w:rsid w:val="00F81D28"/>
    <w:rsid w:val="00F81D62"/>
    <w:rsid w:val="00F81D8E"/>
    <w:rsid w:val="00F836B8"/>
    <w:rsid w:val="00F84A60"/>
    <w:rsid w:val="00F853CD"/>
    <w:rsid w:val="00F858F9"/>
    <w:rsid w:val="00F85E57"/>
    <w:rsid w:val="00F8610E"/>
    <w:rsid w:val="00F861AF"/>
    <w:rsid w:val="00F86D2C"/>
    <w:rsid w:val="00F86E8F"/>
    <w:rsid w:val="00F86EB0"/>
    <w:rsid w:val="00F87432"/>
    <w:rsid w:val="00F8753E"/>
    <w:rsid w:val="00F87807"/>
    <w:rsid w:val="00F8780D"/>
    <w:rsid w:val="00F87B5B"/>
    <w:rsid w:val="00F87E3E"/>
    <w:rsid w:val="00F90B31"/>
    <w:rsid w:val="00F91294"/>
    <w:rsid w:val="00F915CB"/>
    <w:rsid w:val="00F916DF"/>
    <w:rsid w:val="00F9283E"/>
    <w:rsid w:val="00F92CF4"/>
    <w:rsid w:val="00F92D8C"/>
    <w:rsid w:val="00F92EA9"/>
    <w:rsid w:val="00F93035"/>
    <w:rsid w:val="00F939C5"/>
    <w:rsid w:val="00F94188"/>
    <w:rsid w:val="00F943AA"/>
    <w:rsid w:val="00F94A43"/>
    <w:rsid w:val="00F94ACD"/>
    <w:rsid w:val="00F94C38"/>
    <w:rsid w:val="00F94CD4"/>
    <w:rsid w:val="00F95008"/>
    <w:rsid w:val="00F95616"/>
    <w:rsid w:val="00F95639"/>
    <w:rsid w:val="00F95660"/>
    <w:rsid w:val="00F95A6B"/>
    <w:rsid w:val="00F95E34"/>
    <w:rsid w:val="00F95F97"/>
    <w:rsid w:val="00F95FAA"/>
    <w:rsid w:val="00F96558"/>
    <w:rsid w:val="00F96597"/>
    <w:rsid w:val="00F96B2B"/>
    <w:rsid w:val="00F96E1A"/>
    <w:rsid w:val="00F96F0B"/>
    <w:rsid w:val="00F977D1"/>
    <w:rsid w:val="00FA0916"/>
    <w:rsid w:val="00FA0EFC"/>
    <w:rsid w:val="00FA1588"/>
    <w:rsid w:val="00FA1D40"/>
    <w:rsid w:val="00FA1EE1"/>
    <w:rsid w:val="00FA2078"/>
    <w:rsid w:val="00FA2961"/>
    <w:rsid w:val="00FA2DDC"/>
    <w:rsid w:val="00FA3068"/>
    <w:rsid w:val="00FA314F"/>
    <w:rsid w:val="00FA349F"/>
    <w:rsid w:val="00FA3578"/>
    <w:rsid w:val="00FA3616"/>
    <w:rsid w:val="00FA36E0"/>
    <w:rsid w:val="00FA3773"/>
    <w:rsid w:val="00FA3859"/>
    <w:rsid w:val="00FA3B94"/>
    <w:rsid w:val="00FA3DD0"/>
    <w:rsid w:val="00FA3E4A"/>
    <w:rsid w:val="00FA457D"/>
    <w:rsid w:val="00FA4C67"/>
    <w:rsid w:val="00FA4F06"/>
    <w:rsid w:val="00FA542B"/>
    <w:rsid w:val="00FA5444"/>
    <w:rsid w:val="00FA5608"/>
    <w:rsid w:val="00FA5967"/>
    <w:rsid w:val="00FA5A76"/>
    <w:rsid w:val="00FA5C82"/>
    <w:rsid w:val="00FA5DA4"/>
    <w:rsid w:val="00FA5DF5"/>
    <w:rsid w:val="00FA6039"/>
    <w:rsid w:val="00FA62F2"/>
    <w:rsid w:val="00FA6434"/>
    <w:rsid w:val="00FA668A"/>
    <w:rsid w:val="00FA6792"/>
    <w:rsid w:val="00FA72E6"/>
    <w:rsid w:val="00FA74FF"/>
    <w:rsid w:val="00FA7798"/>
    <w:rsid w:val="00FA7B6A"/>
    <w:rsid w:val="00FA7DD7"/>
    <w:rsid w:val="00FB0619"/>
    <w:rsid w:val="00FB0AF6"/>
    <w:rsid w:val="00FB107A"/>
    <w:rsid w:val="00FB13D6"/>
    <w:rsid w:val="00FB1437"/>
    <w:rsid w:val="00FB2058"/>
    <w:rsid w:val="00FB20E3"/>
    <w:rsid w:val="00FB30B3"/>
    <w:rsid w:val="00FB32E8"/>
    <w:rsid w:val="00FB35B3"/>
    <w:rsid w:val="00FB3611"/>
    <w:rsid w:val="00FB3BAF"/>
    <w:rsid w:val="00FB47A9"/>
    <w:rsid w:val="00FB4C83"/>
    <w:rsid w:val="00FB56AA"/>
    <w:rsid w:val="00FB6994"/>
    <w:rsid w:val="00FB70A8"/>
    <w:rsid w:val="00FB7328"/>
    <w:rsid w:val="00FC01A4"/>
    <w:rsid w:val="00FC037C"/>
    <w:rsid w:val="00FC0C5F"/>
    <w:rsid w:val="00FC0C91"/>
    <w:rsid w:val="00FC0FDB"/>
    <w:rsid w:val="00FC1089"/>
    <w:rsid w:val="00FC14D8"/>
    <w:rsid w:val="00FC161C"/>
    <w:rsid w:val="00FC18AF"/>
    <w:rsid w:val="00FC19B1"/>
    <w:rsid w:val="00FC1FF9"/>
    <w:rsid w:val="00FC2B9F"/>
    <w:rsid w:val="00FC2BA9"/>
    <w:rsid w:val="00FC341E"/>
    <w:rsid w:val="00FC342F"/>
    <w:rsid w:val="00FC346C"/>
    <w:rsid w:val="00FC350F"/>
    <w:rsid w:val="00FC357D"/>
    <w:rsid w:val="00FC38F3"/>
    <w:rsid w:val="00FC3DAC"/>
    <w:rsid w:val="00FC40D8"/>
    <w:rsid w:val="00FC4114"/>
    <w:rsid w:val="00FC41E5"/>
    <w:rsid w:val="00FC443E"/>
    <w:rsid w:val="00FC446C"/>
    <w:rsid w:val="00FC45C4"/>
    <w:rsid w:val="00FC45CA"/>
    <w:rsid w:val="00FC4A95"/>
    <w:rsid w:val="00FC4DAD"/>
    <w:rsid w:val="00FC52E9"/>
    <w:rsid w:val="00FC572F"/>
    <w:rsid w:val="00FC595A"/>
    <w:rsid w:val="00FC62D4"/>
    <w:rsid w:val="00FC67A5"/>
    <w:rsid w:val="00FC6849"/>
    <w:rsid w:val="00FC74CB"/>
    <w:rsid w:val="00FC777B"/>
    <w:rsid w:val="00FC78E7"/>
    <w:rsid w:val="00FC7BBB"/>
    <w:rsid w:val="00FD027F"/>
    <w:rsid w:val="00FD03ED"/>
    <w:rsid w:val="00FD0B80"/>
    <w:rsid w:val="00FD0BB4"/>
    <w:rsid w:val="00FD0CEC"/>
    <w:rsid w:val="00FD0D52"/>
    <w:rsid w:val="00FD0F13"/>
    <w:rsid w:val="00FD1693"/>
    <w:rsid w:val="00FD1919"/>
    <w:rsid w:val="00FD203D"/>
    <w:rsid w:val="00FD23C0"/>
    <w:rsid w:val="00FD2411"/>
    <w:rsid w:val="00FD30B9"/>
    <w:rsid w:val="00FD30DE"/>
    <w:rsid w:val="00FD4A40"/>
    <w:rsid w:val="00FD4C80"/>
    <w:rsid w:val="00FD4FDD"/>
    <w:rsid w:val="00FD53E3"/>
    <w:rsid w:val="00FD5670"/>
    <w:rsid w:val="00FD5D64"/>
    <w:rsid w:val="00FD5E0C"/>
    <w:rsid w:val="00FD607D"/>
    <w:rsid w:val="00FD635C"/>
    <w:rsid w:val="00FD63F3"/>
    <w:rsid w:val="00FD64A8"/>
    <w:rsid w:val="00FD671D"/>
    <w:rsid w:val="00FD6959"/>
    <w:rsid w:val="00FD6B40"/>
    <w:rsid w:val="00FD6C43"/>
    <w:rsid w:val="00FD6CF9"/>
    <w:rsid w:val="00FD75AE"/>
    <w:rsid w:val="00FD769A"/>
    <w:rsid w:val="00FD7758"/>
    <w:rsid w:val="00FE0315"/>
    <w:rsid w:val="00FE07DA"/>
    <w:rsid w:val="00FE0819"/>
    <w:rsid w:val="00FE0B93"/>
    <w:rsid w:val="00FE0CA5"/>
    <w:rsid w:val="00FE0F3B"/>
    <w:rsid w:val="00FE1294"/>
    <w:rsid w:val="00FE1ADA"/>
    <w:rsid w:val="00FE2389"/>
    <w:rsid w:val="00FE245E"/>
    <w:rsid w:val="00FE2E7B"/>
    <w:rsid w:val="00FE2F02"/>
    <w:rsid w:val="00FE33D5"/>
    <w:rsid w:val="00FE3B78"/>
    <w:rsid w:val="00FE4761"/>
    <w:rsid w:val="00FE4AFC"/>
    <w:rsid w:val="00FE5B85"/>
    <w:rsid w:val="00FE5BFA"/>
    <w:rsid w:val="00FE5F69"/>
    <w:rsid w:val="00FE62FC"/>
    <w:rsid w:val="00FE6861"/>
    <w:rsid w:val="00FE68FA"/>
    <w:rsid w:val="00FE6950"/>
    <w:rsid w:val="00FE6A6C"/>
    <w:rsid w:val="00FE6D05"/>
    <w:rsid w:val="00FE7622"/>
    <w:rsid w:val="00FE7892"/>
    <w:rsid w:val="00FE7A94"/>
    <w:rsid w:val="00FE7A98"/>
    <w:rsid w:val="00FE7B91"/>
    <w:rsid w:val="00FE7C05"/>
    <w:rsid w:val="00FE7F53"/>
    <w:rsid w:val="00FE7FBB"/>
    <w:rsid w:val="00FF0747"/>
    <w:rsid w:val="00FF1079"/>
    <w:rsid w:val="00FF132C"/>
    <w:rsid w:val="00FF1488"/>
    <w:rsid w:val="00FF15F6"/>
    <w:rsid w:val="00FF1BDD"/>
    <w:rsid w:val="00FF1D6A"/>
    <w:rsid w:val="00FF1EE3"/>
    <w:rsid w:val="00FF1F51"/>
    <w:rsid w:val="00FF2815"/>
    <w:rsid w:val="00FF34CB"/>
    <w:rsid w:val="00FF3B44"/>
    <w:rsid w:val="00FF3B7B"/>
    <w:rsid w:val="00FF46C4"/>
    <w:rsid w:val="00FF4901"/>
    <w:rsid w:val="00FF4E64"/>
    <w:rsid w:val="00FF4F58"/>
    <w:rsid w:val="00FF4FE4"/>
    <w:rsid w:val="00FF512B"/>
    <w:rsid w:val="00FF5253"/>
    <w:rsid w:val="00FF53EB"/>
    <w:rsid w:val="00FF60BB"/>
    <w:rsid w:val="00FF634A"/>
    <w:rsid w:val="00FF6871"/>
    <w:rsid w:val="00FF69C5"/>
    <w:rsid w:val="00FF6A96"/>
    <w:rsid w:val="00FF70C0"/>
    <w:rsid w:val="00FF72A9"/>
    <w:rsid w:val="00FF7637"/>
    <w:rsid w:val="00FF7666"/>
    <w:rsid w:val="00FF7D41"/>
    <w:rsid w:val="0155F00C"/>
    <w:rsid w:val="06FB0E25"/>
    <w:rsid w:val="152C44DC"/>
    <w:rsid w:val="17CE0F82"/>
    <w:rsid w:val="19362B38"/>
    <w:rsid w:val="1A64318C"/>
    <w:rsid w:val="20C75AC9"/>
    <w:rsid w:val="2399385B"/>
    <w:rsid w:val="24305AAB"/>
    <w:rsid w:val="26420EC0"/>
    <w:rsid w:val="28666C8A"/>
    <w:rsid w:val="2E019F3D"/>
    <w:rsid w:val="2E463185"/>
    <w:rsid w:val="3346A02A"/>
    <w:rsid w:val="3A4F458D"/>
    <w:rsid w:val="3F895210"/>
    <w:rsid w:val="3FEDD9F9"/>
    <w:rsid w:val="44C14B1C"/>
    <w:rsid w:val="45682AE6"/>
    <w:rsid w:val="4626637E"/>
    <w:rsid w:val="4A43275A"/>
    <w:rsid w:val="4C69AC75"/>
    <w:rsid w:val="4E781033"/>
    <w:rsid w:val="52B04857"/>
    <w:rsid w:val="541DEC46"/>
    <w:rsid w:val="54BF0219"/>
    <w:rsid w:val="59917E4C"/>
    <w:rsid w:val="5E3587DC"/>
    <w:rsid w:val="67BA4F06"/>
    <w:rsid w:val="69621186"/>
    <w:rsid w:val="757D3B8F"/>
    <w:rsid w:val="771842A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E15A5"/>
  <w15:docId w15:val="{07D328AE-39BE-4814-B17F-C6CD79FD8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EBC"/>
    <w:pPr>
      <w:spacing w:after="0" w:line="240" w:lineRule="auto"/>
      <w:jc w:val="both"/>
    </w:pPr>
    <w:rPr>
      <w:rFonts w:ascii="Arial" w:hAnsi="Arial" w:cs="Arial"/>
      <w:sz w:val="18"/>
      <w:szCs w:val="18"/>
    </w:rPr>
  </w:style>
  <w:style w:type="paragraph" w:styleId="Ttulo1">
    <w:name w:val="heading 1"/>
    <w:basedOn w:val="Prrafodelista"/>
    <w:next w:val="Normal"/>
    <w:link w:val="Ttulo1Car"/>
    <w:uiPriority w:val="9"/>
    <w:qFormat/>
    <w:rsid w:val="00645C6F"/>
    <w:pPr>
      <w:numPr>
        <w:ilvl w:val="1"/>
        <w:numId w:val="14"/>
      </w:numPr>
      <w:tabs>
        <w:tab w:val="left" w:pos="6638"/>
      </w:tabs>
      <w:outlineLvl w:val="0"/>
    </w:pPr>
    <w:rPr>
      <w:rFonts w:eastAsiaTheme="minorEastAsia"/>
      <w:b/>
      <w:bCs/>
    </w:rPr>
  </w:style>
  <w:style w:type="paragraph" w:styleId="Ttulo2">
    <w:name w:val="heading 2"/>
    <w:basedOn w:val="Ttulo1"/>
    <w:next w:val="Normal"/>
    <w:link w:val="Ttulo2Car"/>
    <w:uiPriority w:val="9"/>
    <w:unhideWhenUsed/>
    <w:qFormat/>
    <w:rsid w:val="00697421"/>
    <w:pPr>
      <w:outlineLvl w:val="1"/>
    </w:pPr>
  </w:style>
  <w:style w:type="paragraph" w:styleId="Ttulo3">
    <w:name w:val="heading 3"/>
    <w:basedOn w:val="Normal"/>
    <w:next w:val="Normal"/>
    <w:link w:val="Ttulo3Car"/>
    <w:uiPriority w:val="9"/>
    <w:unhideWhenUsed/>
    <w:qFormat/>
    <w:rsid w:val="005C192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5538C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F5316"/>
    <w:rPr>
      <w:strike w:val="0"/>
      <w:dstrike w:val="0"/>
      <w:color w:val="0000FF"/>
      <w:u w:val="none"/>
      <w:effect w:val="none"/>
      <w:shd w:val="clear" w:color="auto" w:fill="auto"/>
    </w:rPr>
  </w:style>
  <w:style w:type="character" w:styleId="Textoennegrita">
    <w:name w:val="Strong"/>
    <w:basedOn w:val="Fuentedeprrafopredeter"/>
    <w:uiPriority w:val="22"/>
    <w:qFormat/>
    <w:rsid w:val="002F5316"/>
    <w:rPr>
      <w:b/>
      <w:bCs/>
    </w:rPr>
  </w:style>
  <w:style w:type="paragraph" w:styleId="NormalWeb">
    <w:name w:val="Normal (Web)"/>
    <w:basedOn w:val="Normal"/>
    <w:uiPriority w:val="99"/>
    <w:unhideWhenUsed/>
    <w:rsid w:val="002F5316"/>
    <w:pPr>
      <w:spacing w:before="100" w:beforeAutospacing="1" w:after="100" w:afterAutospacing="1"/>
    </w:pPr>
    <w:rPr>
      <w:rFonts w:eastAsia="Times New Roman"/>
      <w:color w:val="333333"/>
      <w:sz w:val="21"/>
      <w:szCs w:val="21"/>
      <w:lang w:eastAsia="es-CO"/>
    </w:rPr>
  </w:style>
  <w:style w:type="paragraph" w:styleId="Prrafodelista">
    <w:name w:val="List Paragraph"/>
    <w:basedOn w:val="Normal"/>
    <w:link w:val="PrrafodelistaCar"/>
    <w:uiPriority w:val="34"/>
    <w:qFormat/>
    <w:rsid w:val="000A4AE3"/>
    <w:pPr>
      <w:ind w:left="720"/>
      <w:contextualSpacing/>
    </w:pPr>
  </w:style>
  <w:style w:type="paragraph" w:styleId="Encabezado">
    <w:name w:val="header"/>
    <w:basedOn w:val="Normal"/>
    <w:link w:val="EncabezadoCar"/>
    <w:unhideWhenUsed/>
    <w:rsid w:val="006E0A87"/>
    <w:pPr>
      <w:tabs>
        <w:tab w:val="center" w:pos="4419"/>
        <w:tab w:val="right" w:pos="8838"/>
      </w:tabs>
    </w:pPr>
  </w:style>
  <w:style w:type="character" w:customStyle="1" w:styleId="EncabezadoCar">
    <w:name w:val="Encabezado Car"/>
    <w:basedOn w:val="Fuentedeprrafopredeter"/>
    <w:link w:val="Encabezado"/>
    <w:rsid w:val="006E0A87"/>
    <w:rPr>
      <w:rFonts w:ascii="Arial" w:hAnsi="Arial" w:cs="Arial"/>
      <w:sz w:val="18"/>
      <w:szCs w:val="18"/>
    </w:rPr>
  </w:style>
  <w:style w:type="paragraph" w:styleId="Piedepgina">
    <w:name w:val="footer"/>
    <w:basedOn w:val="Normal"/>
    <w:link w:val="PiedepginaCar"/>
    <w:unhideWhenUsed/>
    <w:rsid w:val="006E0A87"/>
    <w:pPr>
      <w:tabs>
        <w:tab w:val="center" w:pos="4419"/>
        <w:tab w:val="right" w:pos="8838"/>
      </w:tabs>
    </w:pPr>
  </w:style>
  <w:style w:type="character" w:customStyle="1" w:styleId="PiedepginaCar">
    <w:name w:val="Pie de página Car"/>
    <w:basedOn w:val="Fuentedeprrafopredeter"/>
    <w:link w:val="Piedepgina"/>
    <w:uiPriority w:val="99"/>
    <w:rsid w:val="006E0A87"/>
    <w:rPr>
      <w:rFonts w:ascii="Arial" w:hAnsi="Arial" w:cs="Arial"/>
      <w:sz w:val="18"/>
      <w:szCs w:val="18"/>
    </w:rPr>
  </w:style>
  <w:style w:type="character" w:customStyle="1" w:styleId="Ttulo1Car">
    <w:name w:val="Título 1 Car"/>
    <w:basedOn w:val="Fuentedeprrafopredeter"/>
    <w:link w:val="Ttulo1"/>
    <w:uiPriority w:val="9"/>
    <w:rsid w:val="00645C6F"/>
    <w:rPr>
      <w:rFonts w:ascii="Arial" w:eastAsiaTheme="minorEastAsia" w:hAnsi="Arial" w:cs="Arial"/>
      <w:b/>
      <w:bCs/>
      <w:sz w:val="18"/>
      <w:szCs w:val="18"/>
    </w:rPr>
  </w:style>
  <w:style w:type="character" w:customStyle="1" w:styleId="Ttulo2Car">
    <w:name w:val="Título 2 Car"/>
    <w:basedOn w:val="Fuentedeprrafopredeter"/>
    <w:link w:val="Ttulo2"/>
    <w:uiPriority w:val="9"/>
    <w:rsid w:val="00697421"/>
    <w:rPr>
      <w:rFonts w:ascii="Arial" w:eastAsiaTheme="minorEastAsia" w:hAnsi="Arial" w:cs="Arial"/>
      <w:b/>
      <w:bCs/>
      <w:sz w:val="18"/>
      <w:szCs w:val="18"/>
    </w:rPr>
  </w:style>
  <w:style w:type="paragraph" w:styleId="Textonotapie">
    <w:name w:val="footnote text"/>
    <w:basedOn w:val="Normal"/>
    <w:link w:val="TextonotapieCar"/>
    <w:uiPriority w:val="99"/>
    <w:unhideWhenUsed/>
    <w:rsid w:val="0042479E"/>
    <w:rPr>
      <w:sz w:val="14"/>
      <w:szCs w:val="14"/>
    </w:rPr>
  </w:style>
  <w:style w:type="character" w:customStyle="1" w:styleId="TextonotapieCar">
    <w:name w:val="Texto nota pie Car"/>
    <w:basedOn w:val="Fuentedeprrafopredeter"/>
    <w:link w:val="Textonotapie"/>
    <w:uiPriority w:val="99"/>
    <w:rsid w:val="0042479E"/>
    <w:rPr>
      <w:rFonts w:ascii="Arial" w:hAnsi="Arial" w:cs="Arial"/>
      <w:sz w:val="14"/>
      <w:szCs w:val="14"/>
    </w:rPr>
  </w:style>
  <w:style w:type="character" w:styleId="Refdenotaalpie">
    <w:name w:val="footnote reference"/>
    <w:basedOn w:val="Fuentedeprrafopredeter"/>
    <w:uiPriority w:val="99"/>
    <w:semiHidden/>
    <w:unhideWhenUsed/>
    <w:rsid w:val="005C1923"/>
    <w:rPr>
      <w:vertAlign w:val="superscript"/>
    </w:rPr>
  </w:style>
  <w:style w:type="character" w:customStyle="1" w:styleId="Ttulo3Car">
    <w:name w:val="Título 3 Car"/>
    <w:basedOn w:val="Fuentedeprrafopredeter"/>
    <w:link w:val="Ttulo3"/>
    <w:uiPriority w:val="9"/>
    <w:rsid w:val="005C1923"/>
    <w:rPr>
      <w:rFonts w:asciiTheme="majorHAnsi" w:eastAsiaTheme="majorEastAsia" w:hAnsiTheme="majorHAnsi" w:cstheme="majorBidi"/>
      <w:color w:val="1F4D78" w:themeColor="accent1" w:themeShade="7F"/>
      <w:sz w:val="24"/>
      <w:szCs w:val="24"/>
    </w:rPr>
  </w:style>
  <w:style w:type="paragraph" w:styleId="TtuloTDC">
    <w:name w:val="TOC Heading"/>
    <w:basedOn w:val="Ttulo1"/>
    <w:next w:val="Normal"/>
    <w:uiPriority w:val="39"/>
    <w:unhideWhenUsed/>
    <w:qFormat/>
    <w:rsid w:val="005C1923"/>
    <w:pPr>
      <w:outlineLvl w:val="9"/>
    </w:pPr>
    <w:rPr>
      <w:lang w:eastAsia="es-CO"/>
    </w:rPr>
  </w:style>
  <w:style w:type="paragraph" w:styleId="TDC1">
    <w:name w:val="toc 1"/>
    <w:basedOn w:val="Normal"/>
    <w:next w:val="Normal"/>
    <w:autoRedefine/>
    <w:uiPriority w:val="39"/>
    <w:unhideWhenUsed/>
    <w:rsid w:val="00B22F3B"/>
    <w:pPr>
      <w:tabs>
        <w:tab w:val="right" w:leader="dot" w:pos="8828"/>
      </w:tabs>
      <w:spacing w:after="100"/>
    </w:pPr>
  </w:style>
  <w:style w:type="paragraph" w:styleId="TDC2">
    <w:name w:val="toc 2"/>
    <w:basedOn w:val="Normal"/>
    <w:next w:val="Normal"/>
    <w:autoRedefine/>
    <w:uiPriority w:val="39"/>
    <w:unhideWhenUsed/>
    <w:rsid w:val="00913D54"/>
    <w:pPr>
      <w:tabs>
        <w:tab w:val="left" w:pos="660"/>
        <w:tab w:val="right" w:leader="dot" w:pos="8828"/>
      </w:tabs>
      <w:spacing w:after="100"/>
      <w:ind w:left="220"/>
    </w:pPr>
    <w:rPr>
      <w:b/>
      <w:noProof/>
    </w:rPr>
  </w:style>
  <w:style w:type="paragraph" w:styleId="TDC3">
    <w:name w:val="toc 3"/>
    <w:basedOn w:val="Normal"/>
    <w:next w:val="Normal"/>
    <w:autoRedefine/>
    <w:uiPriority w:val="39"/>
    <w:unhideWhenUsed/>
    <w:rsid w:val="004968D8"/>
    <w:pPr>
      <w:tabs>
        <w:tab w:val="left" w:pos="880"/>
        <w:tab w:val="right" w:leader="dot" w:pos="8828"/>
      </w:tabs>
      <w:spacing w:after="100"/>
      <w:ind w:left="440"/>
    </w:pPr>
  </w:style>
  <w:style w:type="character" w:customStyle="1" w:styleId="Ttulo4Car">
    <w:name w:val="Título 4 Car"/>
    <w:basedOn w:val="Fuentedeprrafopredeter"/>
    <w:link w:val="Ttulo4"/>
    <w:uiPriority w:val="9"/>
    <w:rsid w:val="005538C5"/>
    <w:rPr>
      <w:rFonts w:asciiTheme="majorHAnsi" w:eastAsiaTheme="majorEastAsia" w:hAnsiTheme="majorHAnsi" w:cstheme="majorBidi"/>
      <w:i/>
      <w:iCs/>
      <w:color w:val="2E74B5" w:themeColor="accent1" w:themeShade="BF"/>
      <w:sz w:val="18"/>
      <w:szCs w:val="18"/>
    </w:rPr>
  </w:style>
  <w:style w:type="paragraph" w:styleId="TDC4">
    <w:name w:val="toc 4"/>
    <w:basedOn w:val="Normal"/>
    <w:next w:val="Normal"/>
    <w:autoRedefine/>
    <w:uiPriority w:val="39"/>
    <w:unhideWhenUsed/>
    <w:rsid w:val="00CE7C76"/>
    <w:pPr>
      <w:spacing w:after="100"/>
      <w:ind w:left="660"/>
    </w:pPr>
  </w:style>
  <w:style w:type="paragraph" w:styleId="Textodeglobo">
    <w:name w:val="Balloon Text"/>
    <w:basedOn w:val="Normal"/>
    <w:link w:val="TextodegloboCar"/>
    <w:uiPriority w:val="99"/>
    <w:semiHidden/>
    <w:unhideWhenUsed/>
    <w:rsid w:val="000D043E"/>
    <w:rPr>
      <w:rFonts w:ascii="Segoe UI" w:hAnsi="Segoe UI" w:cs="Segoe UI"/>
    </w:rPr>
  </w:style>
  <w:style w:type="character" w:customStyle="1" w:styleId="TextodegloboCar">
    <w:name w:val="Texto de globo Car"/>
    <w:basedOn w:val="Fuentedeprrafopredeter"/>
    <w:link w:val="Textodeglobo"/>
    <w:uiPriority w:val="99"/>
    <w:semiHidden/>
    <w:rsid w:val="000D043E"/>
    <w:rPr>
      <w:rFonts w:ascii="Segoe UI" w:hAnsi="Segoe UI" w:cs="Segoe UI"/>
      <w:sz w:val="18"/>
      <w:szCs w:val="18"/>
    </w:rPr>
  </w:style>
  <w:style w:type="paragraph" w:styleId="Textoindependiente2">
    <w:name w:val="Body Text 2"/>
    <w:basedOn w:val="Normal"/>
    <w:link w:val="Textoindependiente2Car"/>
    <w:rsid w:val="000D043E"/>
    <w:rPr>
      <w:rFonts w:eastAsia="Times New Roman" w:cs="Times New Roman"/>
      <w:szCs w:val="20"/>
      <w:lang w:val="es-ES" w:eastAsia="es-CO"/>
    </w:rPr>
  </w:style>
  <w:style w:type="character" w:customStyle="1" w:styleId="Textoindependiente2Car">
    <w:name w:val="Texto independiente 2 Car"/>
    <w:basedOn w:val="Fuentedeprrafopredeter"/>
    <w:link w:val="Textoindependiente2"/>
    <w:rsid w:val="000D043E"/>
    <w:rPr>
      <w:rFonts w:ascii="Arial" w:eastAsia="Times New Roman" w:hAnsi="Arial" w:cs="Times New Roman"/>
      <w:sz w:val="18"/>
      <w:szCs w:val="20"/>
      <w:lang w:val="es-ES" w:eastAsia="es-CO"/>
    </w:rPr>
  </w:style>
  <w:style w:type="character" w:styleId="Refdecomentario">
    <w:name w:val="annotation reference"/>
    <w:basedOn w:val="Fuentedeprrafopredeter"/>
    <w:uiPriority w:val="99"/>
    <w:semiHidden/>
    <w:unhideWhenUsed/>
    <w:rsid w:val="006F7078"/>
    <w:rPr>
      <w:sz w:val="16"/>
      <w:szCs w:val="16"/>
    </w:rPr>
  </w:style>
  <w:style w:type="paragraph" w:styleId="Textocomentario">
    <w:name w:val="annotation text"/>
    <w:basedOn w:val="Normal"/>
    <w:link w:val="TextocomentarioCar"/>
    <w:uiPriority w:val="99"/>
    <w:unhideWhenUsed/>
    <w:rsid w:val="006F7078"/>
    <w:rPr>
      <w:sz w:val="20"/>
      <w:szCs w:val="20"/>
    </w:rPr>
  </w:style>
  <w:style w:type="character" w:customStyle="1" w:styleId="TextocomentarioCar">
    <w:name w:val="Texto comentario Car"/>
    <w:basedOn w:val="Fuentedeprrafopredeter"/>
    <w:link w:val="Textocomentario"/>
    <w:uiPriority w:val="99"/>
    <w:rsid w:val="006F7078"/>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6F7078"/>
    <w:rPr>
      <w:b/>
      <w:bCs/>
    </w:rPr>
  </w:style>
  <w:style w:type="character" w:customStyle="1" w:styleId="AsuntodelcomentarioCar">
    <w:name w:val="Asunto del comentario Car"/>
    <w:basedOn w:val="TextocomentarioCar"/>
    <w:link w:val="Asuntodelcomentario"/>
    <w:uiPriority w:val="99"/>
    <w:semiHidden/>
    <w:rsid w:val="006F7078"/>
    <w:rPr>
      <w:rFonts w:ascii="Arial" w:hAnsi="Arial" w:cs="Arial"/>
      <w:b/>
      <w:bCs/>
      <w:sz w:val="20"/>
      <w:szCs w:val="20"/>
    </w:rPr>
  </w:style>
  <w:style w:type="paragraph" w:styleId="Revisin">
    <w:name w:val="Revision"/>
    <w:hidden/>
    <w:uiPriority w:val="99"/>
    <w:semiHidden/>
    <w:rsid w:val="002D2875"/>
    <w:pPr>
      <w:spacing w:after="0" w:line="240" w:lineRule="auto"/>
    </w:pPr>
  </w:style>
  <w:style w:type="paragraph" w:customStyle="1" w:styleId="Titulo">
    <w:name w:val="Titulo"/>
    <w:basedOn w:val="Textoindependiente2"/>
    <w:link w:val="TituloCar"/>
    <w:rsid w:val="00691F54"/>
    <w:pPr>
      <w:numPr>
        <w:ilvl w:val="1"/>
        <w:numId w:val="1"/>
      </w:numPr>
    </w:pPr>
    <w:rPr>
      <w:rFonts w:cs="Arial"/>
      <w:b/>
      <w:bCs/>
      <w:sz w:val="24"/>
      <w:szCs w:val="24"/>
      <w:lang w:eastAsia="es-ES"/>
    </w:rPr>
  </w:style>
  <w:style w:type="paragraph" w:customStyle="1" w:styleId="Titulo2">
    <w:name w:val="Titulo 2"/>
    <w:basedOn w:val="Titulo"/>
    <w:rsid w:val="00691F54"/>
    <w:pPr>
      <w:numPr>
        <w:ilvl w:val="0"/>
        <w:numId w:val="0"/>
      </w:numPr>
    </w:pPr>
  </w:style>
  <w:style w:type="character" w:customStyle="1" w:styleId="Titulo3Car">
    <w:name w:val="Titulo 3 Car"/>
    <w:basedOn w:val="Fuentedeprrafopredeter"/>
    <w:link w:val="Titulo3"/>
    <w:rsid w:val="00691F54"/>
    <w:rPr>
      <w:rFonts w:ascii="Arial" w:hAnsi="Arial" w:cs="Arial"/>
      <w:b/>
      <w:bCs/>
      <w:sz w:val="24"/>
      <w:szCs w:val="24"/>
      <w:lang w:val="es-ES" w:eastAsia="es-ES"/>
    </w:rPr>
  </w:style>
  <w:style w:type="paragraph" w:customStyle="1" w:styleId="Titulo3">
    <w:name w:val="Titulo 3"/>
    <w:basedOn w:val="Titulo"/>
    <w:link w:val="Titulo3Car"/>
    <w:rsid w:val="00691F54"/>
    <w:pPr>
      <w:numPr>
        <w:numId w:val="2"/>
      </w:numPr>
      <w:tabs>
        <w:tab w:val="clear" w:pos="1080"/>
        <w:tab w:val="num" w:pos="360"/>
      </w:tabs>
      <w:ind w:left="1070"/>
    </w:pPr>
    <w:rPr>
      <w:rFonts w:eastAsiaTheme="minorHAnsi"/>
    </w:rPr>
  </w:style>
  <w:style w:type="character" w:customStyle="1" w:styleId="TituloCar">
    <w:name w:val="Titulo Car"/>
    <w:link w:val="Titulo"/>
    <w:rsid w:val="00691F54"/>
    <w:rPr>
      <w:rFonts w:ascii="Arial" w:eastAsia="Times New Roman" w:hAnsi="Arial" w:cs="Arial"/>
      <w:b/>
      <w:bCs/>
      <w:sz w:val="24"/>
      <w:szCs w:val="24"/>
      <w:lang w:val="es-ES" w:eastAsia="es-ES"/>
    </w:rPr>
  </w:style>
  <w:style w:type="paragraph" w:customStyle="1" w:styleId="Default">
    <w:name w:val="Default"/>
    <w:rsid w:val="00552E30"/>
    <w:pPr>
      <w:autoSpaceDE w:val="0"/>
      <w:autoSpaceDN w:val="0"/>
      <w:adjustRightInd w:val="0"/>
      <w:spacing w:after="0" w:line="240" w:lineRule="auto"/>
    </w:pPr>
    <w:rPr>
      <w:rFonts w:ascii="Open Sans" w:hAnsi="Open Sans" w:cs="Open Sans"/>
      <w:color w:val="000000"/>
      <w:sz w:val="24"/>
      <w:szCs w:val="24"/>
    </w:rPr>
  </w:style>
  <w:style w:type="paragraph" w:styleId="Sangradetextonormal">
    <w:name w:val="Body Text Indent"/>
    <w:basedOn w:val="Normal"/>
    <w:link w:val="SangradetextonormalCar"/>
    <w:uiPriority w:val="99"/>
    <w:semiHidden/>
    <w:unhideWhenUsed/>
    <w:rsid w:val="00EE5360"/>
    <w:pPr>
      <w:spacing w:after="120"/>
      <w:ind w:left="283"/>
    </w:pPr>
  </w:style>
  <w:style w:type="character" w:customStyle="1" w:styleId="SangradetextonormalCar">
    <w:name w:val="Sangría de texto normal Car"/>
    <w:basedOn w:val="Fuentedeprrafopredeter"/>
    <w:link w:val="Sangradetextonormal"/>
    <w:uiPriority w:val="99"/>
    <w:semiHidden/>
    <w:rsid w:val="00EE5360"/>
  </w:style>
  <w:style w:type="paragraph" w:styleId="Bibliografa">
    <w:name w:val="Bibliography"/>
    <w:basedOn w:val="Normal"/>
    <w:next w:val="Normal"/>
    <w:uiPriority w:val="37"/>
    <w:unhideWhenUsed/>
    <w:rsid w:val="00300C42"/>
  </w:style>
  <w:style w:type="table" w:styleId="Tablaconcuadrcula">
    <w:name w:val="Table Grid"/>
    <w:basedOn w:val="Tablanormal"/>
    <w:uiPriority w:val="39"/>
    <w:rsid w:val="00817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B01B3A"/>
    <w:rPr>
      <w:color w:val="808080"/>
    </w:rPr>
  </w:style>
  <w:style w:type="paragraph" w:styleId="Sinespaciado">
    <w:name w:val="No Spacing"/>
    <w:uiPriority w:val="1"/>
    <w:qFormat/>
    <w:rsid w:val="007C7798"/>
    <w:pPr>
      <w:spacing w:after="0" w:line="240" w:lineRule="auto"/>
      <w:jc w:val="both"/>
    </w:pPr>
    <w:rPr>
      <w:rFonts w:ascii="Arial" w:hAnsi="Arial" w:cs="Arial"/>
      <w:sz w:val="18"/>
      <w:szCs w:val="18"/>
    </w:rPr>
  </w:style>
  <w:style w:type="character" w:customStyle="1" w:styleId="Textodemarcadordeposicin">
    <w:name w:val="Texto de marcador de posición"/>
    <w:basedOn w:val="Fuentedeprrafopredeter"/>
    <w:uiPriority w:val="99"/>
    <w:semiHidden/>
    <w:rsid w:val="00E128A3"/>
    <w:rPr>
      <w:color w:val="808080"/>
    </w:rPr>
  </w:style>
  <w:style w:type="character" w:customStyle="1" w:styleId="PrrafodelistaCar">
    <w:name w:val="Párrafo de lista Car"/>
    <w:basedOn w:val="Fuentedeprrafopredeter"/>
    <w:link w:val="Prrafodelista"/>
    <w:uiPriority w:val="34"/>
    <w:locked/>
    <w:rsid w:val="00484EE5"/>
  </w:style>
  <w:style w:type="paragraph" w:styleId="Ttulo">
    <w:name w:val="Title"/>
    <w:basedOn w:val="Normal"/>
    <w:next w:val="Normal"/>
    <w:link w:val="TtuloCar"/>
    <w:uiPriority w:val="10"/>
    <w:qFormat/>
    <w:rsid w:val="007A3712"/>
    <w:pPr>
      <w:jc w:val="center"/>
    </w:pPr>
    <w:rPr>
      <w:b/>
      <w:bCs/>
    </w:rPr>
  </w:style>
  <w:style w:type="character" w:customStyle="1" w:styleId="TtuloCar">
    <w:name w:val="Título Car"/>
    <w:basedOn w:val="Fuentedeprrafopredeter"/>
    <w:link w:val="Ttulo"/>
    <w:uiPriority w:val="10"/>
    <w:rsid w:val="007A3712"/>
    <w:rPr>
      <w:rFonts w:ascii="Arial" w:hAnsi="Arial" w:cs="Arial"/>
      <w:b/>
      <w:bCs/>
      <w:sz w:val="18"/>
      <w:szCs w:val="18"/>
    </w:rPr>
  </w:style>
  <w:style w:type="paragraph" w:customStyle="1" w:styleId="Normal9pt">
    <w:name w:val="Normal + 9 pt"/>
    <w:aliases w:val="Sin Expandido / Comprimido"/>
    <w:basedOn w:val="Textoindependiente"/>
    <w:rsid w:val="00126D09"/>
    <w:pPr>
      <w:numPr>
        <w:numId w:val="29"/>
      </w:numPr>
      <w:tabs>
        <w:tab w:val="clear" w:pos="720"/>
        <w:tab w:val="num" w:pos="360"/>
      </w:tabs>
      <w:spacing w:after="0"/>
    </w:pPr>
    <w:rPr>
      <w:rFonts w:eastAsia="Times New Roman"/>
      <w:lang w:val="es-MX" w:eastAsia="es-ES"/>
    </w:rPr>
  </w:style>
  <w:style w:type="paragraph" w:styleId="Textoindependiente">
    <w:name w:val="Body Text"/>
    <w:basedOn w:val="Normal"/>
    <w:link w:val="TextoindependienteCar"/>
    <w:uiPriority w:val="99"/>
    <w:semiHidden/>
    <w:unhideWhenUsed/>
    <w:rsid w:val="00126D09"/>
    <w:pPr>
      <w:spacing w:after="120"/>
    </w:pPr>
  </w:style>
  <w:style w:type="character" w:customStyle="1" w:styleId="TextoindependienteCar">
    <w:name w:val="Texto independiente Car"/>
    <w:basedOn w:val="Fuentedeprrafopredeter"/>
    <w:link w:val="Textoindependiente"/>
    <w:uiPriority w:val="99"/>
    <w:semiHidden/>
    <w:rsid w:val="00126D09"/>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9504">
      <w:bodyDiv w:val="1"/>
      <w:marLeft w:val="0"/>
      <w:marRight w:val="0"/>
      <w:marTop w:val="0"/>
      <w:marBottom w:val="0"/>
      <w:divBdr>
        <w:top w:val="none" w:sz="0" w:space="0" w:color="auto"/>
        <w:left w:val="none" w:sz="0" w:space="0" w:color="auto"/>
        <w:bottom w:val="none" w:sz="0" w:space="0" w:color="auto"/>
        <w:right w:val="none" w:sz="0" w:space="0" w:color="auto"/>
      </w:divBdr>
    </w:div>
    <w:div w:id="10844709">
      <w:bodyDiv w:val="1"/>
      <w:marLeft w:val="0"/>
      <w:marRight w:val="0"/>
      <w:marTop w:val="0"/>
      <w:marBottom w:val="0"/>
      <w:divBdr>
        <w:top w:val="none" w:sz="0" w:space="0" w:color="auto"/>
        <w:left w:val="none" w:sz="0" w:space="0" w:color="auto"/>
        <w:bottom w:val="none" w:sz="0" w:space="0" w:color="auto"/>
        <w:right w:val="none" w:sz="0" w:space="0" w:color="auto"/>
      </w:divBdr>
    </w:div>
    <w:div w:id="23487030">
      <w:bodyDiv w:val="1"/>
      <w:marLeft w:val="0"/>
      <w:marRight w:val="0"/>
      <w:marTop w:val="0"/>
      <w:marBottom w:val="0"/>
      <w:divBdr>
        <w:top w:val="none" w:sz="0" w:space="0" w:color="auto"/>
        <w:left w:val="none" w:sz="0" w:space="0" w:color="auto"/>
        <w:bottom w:val="none" w:sz="0" w:space="0" w:color="auto"/>
        <w:right w:val="none" w:sz="0" w:space="0" w:color="auto"/>
      </w:divBdr>
    </w:div>
    <w:div w:id="28915179">
      <w:bodyDiv w:val="1"/>
      <w:marLeft w:val="0"/>
      <w:marRight w:val="0"/>
      <w:marTop w:val="0"/>
      <w:marBottom w:val="0"/>
      <w:divBdr>
        <w:top w:val="none" w:sz="0" w:space="0" w:color="auto"/>
        <w:left w:val="none" w:sz="0" w:space="0" w:color="auto"/>
        <w:bottom w:val="none" w:sz="0" w:space="0" w:color="auto"/>
        <w:right w:val="none" w:sz="0" w:space="0" w:color="auto"/>
      </w:divBdr>
    </w:div>
    <w:div w:id="60519972">
      <w:bodyDiv w:val="1"/>
      <w:marLeft w:val="0"/>
      <w:marRight w:val="0"/>
      <w:marTop w:val="0"/>
      <w:marBottom w:val="0"/>
      <w:divBdr>
        <w:top w:val="none" w:sz="0" w:space="0" w:color="auto"/>
        <w:left w:val="none" w:sz="0" w:space="0" w:color="auto"/>
        <w:bottom w:val="none" w:sz="0" w:space="0" w:color="auto"/>
        <w:right w:val="none" w:sz="0" w:space="0" w:color="auto"/>
      </w:divBdr>
    </w:div>
    <w:div w:id="121853187">
      <w:bodyDiv w:val="1"/>
      <w:marLeft w:val="0"/>
      <w:marRight w:val="0"/>
      <w:marTop w:val="0"/>
      <w:marBottom w:val="0"/>
      <w:divBdr>
        <w:top w:val="none" w:sz="0" w:space="0" w:color="auto"/>
        <w:left w:val="none" w:sz="0" w:space="0" w:color="auto"/>
        <w:bottom w:val="none" w:sz="0" w:space="0" w:color="auto"/>
        <w:right w:val="none" w:sz="0" w:space="0" w:color="auto"/>
      </w:divBdr>
    </w:div>
    <w:div w:id="121963816">
      <w:bodyDiv w:val="1"/>
      <w:marLeft w:val="0"/>
      <w:marRight w:val="0"/>
      <w:marTop w:val="0"/>
      <w:marBottom w:val="0"/>
      <w:divBdr>
        <w:top w:val="none" w:sz="0" w:space="0" w:color="auto"/>
        <w:left w:val="none" w:sz="0" w:space="0" w:color="auto"/>
        <w:bottom w:val="none" w:sz="0" w:space="0" w:color="auto"/>
        <w:right w:val="none" w:sz="0" w:space="0" w:color="auto"/>
      </w:divBdr>
    </w:div>
    <w:div w:id="134951070">
      <w:bodyDiv w:val="1"/>
      <w:marLeft w:val="0"/>
      <w:marRight w:val="0"/>
      <w:marTop w:val="0"/>
      <w:marBottom w:val="0"/>
      <w:divBdr>
        <w:top w:val="none" w:sz="0" w:space="0" w:color="auto"/>
        <w:left w:val="none" w:sz="0" w:space="0" w:color="auto"/>
        <w:bottom w:val="none" w:sz="0" w:space="0" w:color="auto"/>
        <w:right w:val="none" w:sz="0" w:space="0" w:color="auto"/>
      </w:divBdr>
    </w:div>
    <w:div w:id="156649590">
      <w:bodyDiv w:val="1"/>
      <w:marLeft w:val="0"/>
      <w:marRight w:val="0"/>
      <w:marTop w:val="0"/>
      <w:marBottom w:val="0"/>
      <w:divBdr>
        <w:top w:val="none" w:sz="0" w:space="0" w:color="auto"/>
        <w:left w:val="none" w:sz="0" w:space="0" w:color="auto"/>
        <w:bottom w:val="none" w:sz="0" w:space="0" w:color="auto"/>
        <w:right w:val="none" w:sz="0" w:space="0" w:color="auto"/>
      </w:divBdr>
    </w:div>
    <w:div w:id="169296859">
      <w:bodyDiv w:val="1"/>
      <w:marLeft w:val="0"/>
      <w:marRight w:val="0"/>
      <w:marTop w:val="0"/>
      <w:marBottom w:val="0"/>
      <w:divBdr>
        <w:top w:val="none" w:sz="0" w:space="0" w:color="auto"/>
        <w:left w:val="none" w:sz="0" w:space="0" w:color="auto"/>
        <w:bottom w:val="none" w:sz="0" w:space="0" w:color="auto"/>
        <w:right w:val="none" w:sz="0" w:space="0" w:color="auto"/>
      </w:divBdr>
    </w:div>
    <w:div w:id="172696120">
      <w:bodyDiv w:val="1"/>
      <w:marLeft w:val="0"/>
      <w:marRight w:val="0"/>
      <w:marTop w:val="0"/>
      <w:marBottom w:val="0"/>
      <w:divBdr>
        <w:top w:val="none" w:sz="0" w:space="0" w:color="auto"/>
        <w:left w:val="none" w:sz="0" w:space="0" w:color="auto"/>
        <w:bottom w:val="none" w:sz="0" w:space="0" w:color="auto"/>
        <w:right w:val="none" w:sz="0" w:space="0" w:color="auto"/>
      </w:divBdr>
    </w:div>
    <w:div w:id="177234099">
      <w:bodyDiv w:val="1"/>
      <w:marLeft w:val="0"/>
      <w:marRight w:val="0"/>
      <w:marTop w:val="0"/>
      <w:marBottom w:val="0"/>
      <w:divBdr>
        <w:top w:val="none" w:sz="0" w:space="0" w:color="auto"/>
        <w:left w:val="none" w:sz="0" w:space="0" w:color="auto"/>
        <w:bottom w:val="none" w:sz="0" w:space="0" w:color="auto"/>
        <w:right w:val="none" w:sz="0" w:space="0" w:color="auto"/>
      </w:divBdr>
    </w:div>
    <w:div w:id="180894101">
      <w:bodyDiv w:val="1"/>
      <w:marLeft w:val="0"/>
      <w:marRight w:val="0"/>
      <w:marTop w:val="0"/>
      <w:marBottom w:val="0"/>
      <w:divBdr>
        <w:top w:val="none" w:sz="0" w:space="0" w:color="auto"/>
        <w:left w:val="none" w:sz="0" w:space="0" w:color="auto"/>
        <w:bottom w:val="none" w:sz="0" w:space="0" w:color="auto"/>
        <w:right w:val="none" w:sz="0" w:space="0" w:color="auto"/>
      </w:divBdr>
    </w:div>
    <w:div w:id="183058371">
      <w:bodyDiv w:val="1"/>
      <w:marLeft w:val="0"/>
      <w:marRight w:val="0"/>
      <w:marTop w:val="0"/>
      <w:marBottom w:val="0"/>
      <w:divBdr>
        <w:top w:val="none" w:sz="0" w:space="0" w:color="auto"/>
        <w:left w:val="none" w:sz="0" w:space="0" w:color="auto"/>
        <w:bottom w:val="none" w:sz="0" w:space="0" w:color="auto"/>
        <w:right w:val="none" w:sz="0" w:space="0" w:color="auto"/>
      </w:divBdr>
    </w:div>
    <w:div w:id="200486123">
      <w:bodyDiv w:val="1"/>
      <w:marLeft w:val="0"/>
      <w:marRight w:val="0"/>
      <w:marTop w:val="0"/>
      <w:marBottom w:val="0"/>
      <w:divBdr>
        <w:top w:val="none" w:sz="0" w:space="0" w:color="auto"/>
        <w:left w:val="none" w:sz="0" w:space="0" w:color="auto"/>
        <w:bottom w:val="none" w:sz="0" w:space="0" w:color="auto"/>
        <w:right w:val="none" w:sz="0" w:space="0" w:color="auto"/>
      </w:divBdr>
    </w:div>
    <w:div w:id="234780300">
      <w:bodyDiv w:val="1"/>
      <w:marLeft w:val="0"/>
      <w:marRight w:val="0"/>
      <w:marTop w:val="0"/>
      <w:marBottom w:val="0"/>
      <w:divBdr>
        <w:top w:val="none" w:sz="0" w:space="0" w:color="auto"/>
        <w:left w:val="none" w:sz="0" w:space="0" w:color="auto"/>
        <w:bottom w:val="none" w:sz="0" w:space="0" w:color="auto"/>
        <w:right w:val="none" w:sz="0" w:space="0" w:color="auto"/>
      </w:divBdr>
    </w:div>
    <w:div w:id="237978116">
      <w:bodyDiv w:val="1"/>
      <w:marLeft w:val="0"/>
      <w:marRight w:val="0"/>
      <w:marTop w:val="0"/>
      <w:marBottom w:val="0"/>
      <w:divBdr>
        <w:top w:val="none" w:sz="0" w:space="0" w:color="auto"/>
        <w:left w:val="none" w:sz="0" w:space="0" w:color="auto"/>
        <w:bottom w:val="none" w:sz="0" w:space="0" w:color="auto"/>
        <w:right w:val="none" w:sz="0" w:space="0" w:color="auto"/>
      </w:divBdr>
    </w:div>
    <w:div w:id="243337859">
      <w:bodyDiv w:val="1"/>
      <w:marLeft w:val="0"/>
      <w:marRight w:val="0"/>
      <w:marTop w:val="0"/>
      <w:marBottom w:val="0"/>
      <w:divBdr>
        <w:top w:val="none" w:sz="0" w:space="0" w:color="auto"/>
        <w:left w:val="none" w:sz="0" w:space="0" w:color="auto"/>
        <w:bottom w:val="none" w:sz="0" w:space="0" w:color="auto"/>
        <w:right w:val="none" w:sz="0" w:space="0" w:color="auto"/>
      </w:divBdr>
    </w:div>
    <w:div w:id="246961904">
      <w:bodyDiv w:val="1"/>
      <w:marLeft w:val="0"/>
      <w:marRight w:val="0"/>
      <w:marTop w:val="0"/>
      <w:marBottom w:val="0"/>
      <w:divBdr>
        <w:top w:val="none" w:sz="0" w:space="0" w:color="auto"/>
        <w:left w:val="none" w:sz="0" w:space="0" w:color="auto"/>
        <w:bottom w:val="none" w:sz="0" w:space="0" w:color="auto"/>
        <w:right w:val="none" w:sz="0" w:space="0" w:color="auto"/>
      </w:divBdr>
    </w:div>
    <w:div w:id="263346162">
      <w:bodyDiv w:val="1"/>
      <w:marLeft w:val="0"/>
      <w:marRight w:val="0"/>
      <w:marTop w:val="0"/>
      <w:marBottom w:val="0"/>
      <w:divBdr>
        <w:top w:val="none" w:sz="0" w:space="0" w:color="auto"/>
        <w:left w:val="none" w:sz="0" w:space="0" w:color="auto"/>
        <w:bottom w:val="none" w:sz="0" w:space="0" w:color="auto"/>
        <w:right w:val="none" w:sz="0" w:space="0" w:color="auto"/>
      </w:divBdr>
    </w:div>
    <w:div w:id="267273651">
      <w:bodyDiv w:val="1"/>
      <w:marLeft w:val="0"/>
      <w:marRight w:val="0"/>
      <w:marTop w:val="0"/>
      <w:marBottom w:val="0"/>
      <w:divBdr>
        <w:top w:val="none" w:sz="0" w:space="0" w:color="auto"/>
        <w:left w:val="none" w:sz="0" w:space="0" w:color="auto"/>
        <w:bottom w:val="none" w:sz="0" w:space="0" w:color="auto"/>
        <w:right w:val="none" w:sz="0" w:space="0" w:color="auto"/>
      </w:divBdr>
    </w:div>
    <w:div w:id="277105420">
      <w:bodyDiv w:val="1"/>
      <w:marLeft w:val="0"/>
      <w:marRight w:val="0"/>
      <w:marTop w:val="0"/>
      <w:marBottom w:val="0"/>
      <w:divBdr>
        <w:top w:val="none" w:sz="0" w:space="0" w:color="auto"/>
        <w:left w:val="none" w:sz="0" w:space="0" w:color="auto"/>
        <w:bottom w:val="none" w:sz="0" w:space="0" w:color="auto"/>
        <w:right w:val="none" w:sz="0" w:space="0" w:color="auto"/>
      </w:divBdr>
    </w:div>
    <w:div w:id="318000341">
      <w:bodyDiv w:val="1"/>
      <w:marLeft w:val="0"/>
      <w:marRight w:val="0"/>
      <w:marTop w:val="0"/>
      <w:marBottom w:val="0"/>
      <w:divBdr>
        <w:top w:val="none" w:sz="0" w:space="0" w:color="auto"/>
        <w:left w:val="none" w:sz="0" w:space="0" w:color="auto"/>
        <w:bottom w:val="none" w:sz="0" w:space="0" w:color="auto"/>
        <w:right w:val="none" w:sz="0" w:space="0" w:color="auto"/>
      </w:divBdr>
    </w:div>
    <w:div w:id="322705262">
      <w:bodyDiv w:val="1"/>
      <w:marLeft w:val="0"/>
      <w:marRight w:val="0"/>
      <w:marTop w:val="0"/>
      <w:marBottom w:val="0"/>
      <w:divBdr>
        <w:top w:val="none" w:sz="0" w:space="0" w:color="auto"/>
        <w:left w:val="none" w:sz="0" w:space="0" w:color="auto"/>
        <w:bottom w:val="none" w:sz="0" w:space="0" w:color="auto"/>
        <w:right w:val="none" w:sz="0" w:space="0" w:color="auto"/>
      </w:divBdr>
    </w:div>
    <w:div w:id="336887186">
      <w:bodyDiv w:val="1"/>
      <w:marLeft w:val="0"/>
      <w:marRight w:val="0"/>
      <w:marTop w:val="0"/>
      <w:marBottom w:val="0"/>
      <w:divBdr>
        <w:top w:val="none" w:sz="0" w:space="0" w:color="auto"/>
        <w:left w:val="none" w:sz="0" w:space="0" w:color="auto"/>
        <w:bottom w:val="none" w:sz="0" w:space="0" w:color="auto"/>
        <w:right w:val="none" w:sz="0" w:space="0" w:color="auto"/>
      </w:divBdr>
    </w:div>
    <w:div w:id="339088037">
      <w:bodyDiv w:val="1"/>
      <w:marLeft w:val="0"/>
      <w:marRight w:val="0"/>
      <w:marTop w:val="0"/>
      <w:marBottom w:val="0"/>
      <w:divBdr>
        <w:top w:val="none" w:sz="0" w:space="0" w:color="auto"/>
        <w:left w:val="none" w:sz="0" w:space="0" w:color="auto"/>
        <w:bottom w:val="none" w:sz="0" w:space="0" w:color="auto"/>
        <w:right w:val="none" w:sz="0" w:space="0" w:color="auto"/>
      </w:divBdr>
    </w:div>
    <w:div w:id="345981515">
      <w:bodyDiv w:val="1"/>
      <w:marLeft w:val="0"/>
      <w:marRight w:val="0"/>
      <w:marTop w:val="0"/>
      <w:marBottom w:val="0"/>
      <w:divBdr>
        <w:top w:val="none" w:sz="0" w:space="0" w:color="auto"/>
        <w:left w:val="none" w:sz="0" w:space="0" w:color="auto"/>
        <w:bottom w:val="none" w:sz="0" w:space="0" w:color="auto"/>
        <w:right w:val="none" w:sz="0" w:space="0" w:color="auto"/>
      </w:divBdr>
    </w:div>
    <w:div w:id="362949263">
      <w:bodyDiv w:val="1"/>
      <w:marLeft w:val="0"/>
      <w:marRight w:val="0"/>
      <w:marTop w:val="0"/>
      <w:marBottom w:val="0"/>
      <w:divBdr>
        <w:top w:val="none" w:sz="0" w:space="0" w:color="auto"/>
        <w:left w:val="none" w:sz="0" w:space="0" w:color="auto"/>
        <w:bottom w:val="none" w:sz="0" w:space="0" w:color="auto"/>
        <w:right w:val="none" w:sz="0" w:space="0" w:color="auto"/>
      </w:divBdr>
    </w:div>
    <w:div w:id="364332710">
      <w:bodyDiv w:val="1"/>
      <w:marLeft w:val="0"/>
      <w:marRight w:val="0"/>
      <w:marTop w:val="0"/>
      <w:marBottom w:val="0"/>
      <w:divBdr>
        <w:top w:val="none" w:sz="0" w:space="0" w:color="auto"/>
        <w:left w:val="none" w:sz="0" w:space="0" w:color="auto"/>
        <w:bottom w:val="none" w:sz="0" w:space="0" w:color="auto"/>
        <w:right w:val="none" w:sz="0" w:space="0" w:color="auto"/>
      </w:divBdr>
    </w:div>
    <w:div w:id="377750882">
      <w:bodyDiv w:val="1"/>
      <w:marLeft w:val="0"/>
      <w:marRight w:val="0"/>
      <w:marTop w:val="0"/>
      <w:marBottom w:val="0"/>
      <w:divBdr>
        <w:top w:val="none" w:sz="0" w:space="0" w:color="auto"/>
        <w:left w:val="none" w:sz="0" w:space="0" w:color="auto"/>
        <w:bottom w:val="none" w:sz="0" w:space="0" w:color="auto"/>
        <w:right w:val="none" w:sz="0" w:space="0" w:color="auto"/>
      </w:divBdr>
    </w:div>
    <w:div w:id="421686617">
      <w:bodyDiv w:val="1"/>
      <w:marLeft w:val="0"/>
      <w:marRight w:val="0"/>
      <w:marTop w:val="0"/>
      <w:marBottom w:val="0"/>
      <w:divBdr>
        <w:top w:val="none" w:sz="0" w:space="0" w:color="auto"/>
        <w:left w:val="none" w:sz="0" w:space="0" w:color="auto"/>
        <w:bottom w:val="none" w:sz="0" w:space="0" w:color="auto"/>
        <w:right w:val="none" w:sz="0" w:space="0" w:color="auto"/>
      </w:divBdr>
    </w:div>
    <w:div w:id="461195828">
      <w:bodyDiv w:val="1"/>
      <w:marLeft w:val="0"/>
      <w:marRight w:val="0"/>
      <w:marTop w:val="0"/>
      <w:marBottom w:val="0"/>
      <w:divBdr>
        <w:top w:val="none" w:sz="0" w:space="0" w:color="auto"/>
        <w:left w:val="none" w:sz="0" w:space="0" w:color="auto"/>
        <w:bottom w:val="none" w:sz="0" w:space="0" w:color="auto"/>
        <w:right w:val="none" w:sz="0" w:space="0" w:color="auto"/>
      </w:divBdr>
    </w:div>
    <w:div w:id="465004158">
      <w:bodyDiv w:val="1"/>
      <w:marLeft w:val="0"/>
      <w:marRight w:val="0"/>
      <w:marTop w:val="0"/>
      <w:marBottom w:val="0"/>
      <w:divBdr>
        <w:top w:val="none" w:sz="0" w:space="0" w:color="auto"/>
        <w:left w:val="none" w:sz="0" w:space="0" w:color="auto"/>
        <w:bottom w:val="none" w:sz="0" w:space="0" w:color="auto"/>
        <w:right w:val="none" w:sz="0" w:space="0" w:color="auto"/>
      </w:divBdr>
    </w:div>
    <w:div w:id="477066946">
      <w:bodyDiv w:val="1"/>
      <w:marLeft w:val="0"/>
      <w:marRight w:val="0"/>
      <w:marTop w:val="0"/>
      <w:marBottom w:val="0"/>
      <w:divBdr>
        <w:top w:val="none" w:sz="0" w:space="0" w:color="auto"/>
        <w:left w:val="none" w:sz="0" w:space="0" w:color="auto"/>
        <w:bottom w:val="none" w:sz="0" w:space="0" w:color="auto"/>
        <w:right w:val="none" w:sz="0" w:space="0" w:color="auto"/>
      </w:divBdr>
    </w:div>
    <w:div w:id="507016553">
      <w:bodyDiv w:val="1"/>
      <w:marLeft w:val="0"/>
      <w:marRight w:val="0"/>
      <w:marTop w:val="0"/>
      <w:marBottom w:val="0"/>
      <w:divBdr>
        <w:top w:val="none" w:sz="0" w:space="0" w:color="auto"/>
        <w:left w:val="none" w:sz="0" w:space="0" w:color="auto"/>
        <w:bottom w:val="none" w:sz="0" w:space="0" w:color="auto"/>
        <w:right w:val="none" w:sz="0" w:space="0" w:color="auto"/>
      </w:divBdr>
    </w:div>
    <w:div w:id="512844068">
      <w:bodyDiv w:val="1"/>
      <w:marLeft w:val="0"/>
      <w:marRight w:val="0"/>
      <w:marTop w:val="0"/>
      <w:marBottom w:val="0"/>
      <w:divBdr>
        <w:top w:val="none" w:sz="0" w:space="0" w:color="auto"/>
        <w:left w:val="none" w:sz="0" w:space="0" w:color="auto"/>
        <w:bottom w:val="none" w:sz="0" w:space="0" w:color="auto"/>
        <w:right w:val="none" w:sz="0" w:space="0" w:color="auto"/>
      </w:divBdr>
    </w:div>
    <w:div w:id="551502086">
      <w:bodyDiv w:val="1"/>
      <w:marLeft w:val="0"/>
      <w:marRight w:val="0"/>
      <w:marTop w:val="0"/>
      <w:marBottom w:val="0"/>
      <w:divBdr>
        <w:top w:val="none" w:sz="0" w:space="0" w:color="auto"/>
        <w:left w:val="none" w:sz="0" w:space="0" w:color="auto"/>
        <w:bottom w:val="none" w:sz="0" w:space="0" w:color="auto"/>
        <w:right w:val="none" w:sz="0" w:space="0" w:color="auto"/>
      </w:divBdr>
    </w:div>
    <w:div w:id="562252166">
      <w:bodyDiv w:val="1"/>
      <w:marLeft w:val="0"/>
      <w:marRight w:val="0"/>
      <w:marTop w:val="0"/>
      <w:marBottom w:val="0"/>
      <w:divBdr>
        <w:top w:val="none" w:sz="0" w:space="0" w:color="auto"/>
        <w:left w:val="none" w:sz="0" w:space="0" w:color="auto"/>
        <w:bottom w:val="none" w:sz="0" w:space="0" w:color="auto"/>
        <w:right w:val="none" w:sz="0" w:space="0" w:color="auto"/>
      </w:divBdr>
    </w:div>
    <w:div w:id="596015520">
      <w:bodyDiv w:val="1"/>
      <w:marLeft w:val="0"/>
      <w:marRight w:val="0"/>
      <w:marTop w:val="0"/>
      <w:marBottom w:val="0"/>
      <w:divBdr>
        <w:top w:val="none" w:sz="0" w:space="0" w:color="auto"/>
        <w:left w:val="none" w:sz="0" w:space="0" w:color="auto"/>
        <w:bottom w:val="none" w:sz="0" w:space="0" w:color="auto"/>
        <w:right w:val="none" w:sz="0" w:space="0" w:color="auto"/>
      </w:divBdr>
    </w:div>
    <w:div w:id="598832482">
      <w:bodyDiv w:val="1"/>
      <w:marLeft w:val="0"/>
      <w:marRight w:val="0"/>
      <w:marTop w:val="0"/>
      <w:marBottom w:val="0"/>
      <w:divBdr>
        <w:top w:val="none" w:sz="0" w:space="0" w:color="auto"/>
        <w:left w:val="none" w:sz="0" w:space="0" w:color="auto"/>
        <w:bottom w:val="none" w:sz="0" w:space="0" w:color="auto"/>
        <w:right w:val="none" w:sz="0" w:space="0" w:color="auto"/>
      </w:divBdr>
    </w:div>
    <w:div w:id="613287509">
      <w:bodyDiv w:val="1"/>
      <w:marLeft w:val="0"/>
      <w:marRight w:val="0"/>
      <w:marTop w:val="0"/>
      <w:marBottom w:val="0"/>
      <w:divBdr>
        <w:top w:val="none" w:sz="0" w:space="0" w:color="auto"/>
        <w:left w:val="none" w:sz="0" w:space="0" w:color="auto"/>
        <w:bottom w:val="none" w:sz="0" w:space="0" w:color="auto"/>
        <w:right w:val="none" w:sz="0" w:space="0" w:color="auto"/>
      </w:divBdr>
    </w:div>
    <w:div w:id="620960805">
      <w:bodyDiv w:val="1"/>
      <w:marLeft w:val="0"/>
      <w:marRight w:val="0"/>
      <w:marTop w:val="0"/>
      <w:marBottom w:val="0"/>
      <w:divBdr>
        <w:top w:val="none" w:sz="0" w:space="0" w:color="auto"/>
        <w:left w:val="none" w:sz="0" w:space="0" w:color="auto"/>
        <w:bottom w:val="none" w:sz="0" w:space="0" w:color="auto"/>
        <w:right w:val="none" w:sz="0" w:space="0" w:color="auto"/>
      </w:divBdr>
    </w:div>
    <w:div w:id="647130702">
      <w:bodyDiv w:val="1"/>
      <w:marLeft w:val="0"/>
      <w:marRight w:val="0"/>
      <w:marTop w:val="0"/>
      <w:marBottom w:val="0"/>
      <w:divBdr>
        <w:top w:val="none" w:sz="0" w:space="0" w:color="auto"/>
        <w:left w:val="none" w:sz="0" w:space="0" w:color="auto"/>
        <w:bottom w:val="none" w:sz="0" w:space="0" w:color="auto"/>
        <w:right w:val="none" w:sz="0" w:space="0" w:color="auto"/>
      </w:divBdr>
      <w:divsChild>
        <w:div w:id="53823790">
          <w:marLeft w:val="547"/>
          <w:marRight w:val="0"/>
          <w:marTop w:val="86"/>
          <w:marBottom w:val="0"/>
          <w:divBdr>
            <w:top w:val="none" w:sz="0" w:space="0" w:color="auto"/>
            <w:left w:val="none" w:sz="0" w:space="0" w:color="auto"/>
            <w:bottom w:val="none" w:sz="0" w:space="0" w:color="auto"/>
            <w:right w:val="none" w:sz="0" w:space="0" w:color="auto"/>
          </w:divBdr>
        </w:div>
        <w:div w:id="1394238554">
          <w:marLeft w:val="547"/>
          <w:marRight w:val="0"/>
          <w:marTop w:val="86"/>
          <w:marBottom w:val="0"/>
          <w:divBdr>
            <w:top w:val="none" w:sz="0" w:space="0" w:color="auto"/>
            <w:left w:val="none" w:sz="0" w:space="0" w:color="auto"/>
            <w:bottom w:val="none" w:sz="0" w:space="0" w:color="auto"/>
            <w:right w:val="none" w:sz="0" w:space="0" w:color="auto"/>
          </w:divBdr>
        </w:div>
        <w:div w:id="1415205387">
          <w:marLeft w:val="547"/>
          <w:marRight w:val="0"/>
          <w:marTop w:val="86"/>
          <w:marBottom w:val="0"/>
          <w:divBdr>
            <w:top w:val="none" w:sz="0" w:space="0" w:color="auto"/>
            <w:left w:val="none" w:sz="0" w:space="0" w:color="auto"/>
            <w:bottom w:val="none" w:sz="0" w:space="0" w:color="auto"/>
            <w:right w:val="none" w:sz="0" w:space="0" w:color="auto"/>
          </w:divBdr>
        </w:div>
        <w:div w:id="1576620423">
          <w:marLeft w:val="547"/>
          <w:marRight w:val="0"/>
          <w:marTop w:val="86"/>
          <w:marBottom w:val="0"/>
          <w:divBdr>
            <w:top w:val="none" w:sz="0" w:space="0" w:color="auto"/>
            <w:left w:val="none" w:sz="0" w:space="0" w:color="auto"/>
            <w:bottom w:val="none" w:sz="0" w:space="0" w:color="auto"/>
            <w:right w:val="none" w:sz="0" w:space="0" w:color="auto"/>
          </w:divBdr>
        </w:div>
        <w:div w:id="1815178709">
          <w:marLeft w:val="547"/>
          <w:marRight w:val="0"/>
          <w:marTop w:val="86"/>
          <w:marBottom w:val="0"/>
          <w:divBdr>
            <w:top w:val="none" w:sz="0" w:space="0" w:color="auto"/>
            <w:left w:val="none" w:sz="0" w:space="0" w:color="auto"/>
            <w:bottom w:val="none" w:sz="0" w:space="0" w:color="auto"/>
            <w:right w:val="none" w:sz="0" w:space="0" w:color="auto"/>
          </w:divBdr>
        </w:div>
      </w:divsChild>
    </w:div>
    <w:div w:id="654143797">
      <w:bodyDiv w:val="1"/>
      <w:marLeft w:val="0"/>
      <w:marRight w:val="0"/>
      <w:marTop w:val="0"/>
      <w:marBottom w:val="0"/>
      <w:divBdr>
        <w:top w:val="none" w:sz="0" w:space="0" w:color="auto"/>
        <w:left w:val="none" w:sz="0" w:space="0" w:color="auto"/>
        <w:bottom w:val="none" w:sz="0" w:space="0" w:color="auto"/>
        <w:right w:val="none" w:sz="0" w:space="0" w:color="auto"/>
      </w:divBdr>
    </w:div>
    <w:div w:id="677780000">
      <w:bodyDiv w:val="1"/>
      <w:marLeft w:val="0"/>
      <w:marRight w:val="0"/>
      <w:marTop w:val="0"/>
      <w:marBottom w:val="0"/>
      <w:divBdr>
        <w:top w:val="none" w:sz="0" w:space="0" w:color="auto"/>
        <w:left w:val="none" w:sz="0" w:space="0" w:color="auto"/>
        <w:bottom w:val="none" w:sz="0" w:space="0" w:color="auto"/>
        <w:right w:val="none" w:sz="0" w:space="0" w:color="auto"/>
      </w:divBdr>
    </w:div>
    <w:div w:id="682973826">
      <w:bodyDiv w:val="1"/>
      <w:marLeft w:val="0"/>
      <w:marRight w:val="0"/>
      <w:marTop w:val="0"/>
      <w:marBottom w:val="0"/>
      <w:divBdr>
        <w:top w:val="none" w:sz="0" w:space="0" w:color="auto"/>
        <w:left w:val="none" w:sz="0" w:space="0" w:color="auto"/>
        <w:bottom w:val="none" w:sz="0" w:space="0" w:color="auto"/>
        <w:right w:val="none" w:sz="0" w:space="0" w:color="auto"/>
      </w:divBdr>
    </w:div>
    <w:div w:id="695622532">
      <w:bodyDiv w:val="1"/>
      <w:marLeft w:val="0"/>
      <w:marRight w:val="0"/>
      <w:marTop w:val="0"/>
      <w:marBottom w:val="0"/>
      <w:divBdr>
        <w:top w:val="none" w:sz="0" w:space="0" w:color="auto"/>
        <w:left w:val="none" w:sz="0" w:space="0" w:color="auto"/>
        <w:bottom w:val="none" w:sz="0" w:space="0" w:color="auto"/>
        <w:right w:val="none" w:sz="0" w:space="0" w:color="auto"/>
      </w:divBdr>
    </w:div>
    <w:div w:id="695739437">
      <w:bodyDiv w:val="1"/>
      <w:marLeft w:val="0"/>
      <w:marRight w:val="0"/>
      <w:marTop w:val="0"/>
      <w:marBottom w:val="0"/>
      <w:divBdr>
        <w:top w:val="none" w:sz="0" w:space="0" w:color="auto"/>
        <w:left w:val="none" w:sz="0" w:space="0" w:color="auto"/>
        <w:bottom w:val="none" w:sz="0" w:space="0" w:color="auto"/>
        <w:right w:val="none" w:sz="0" w:space="0" w:color="auto"/>
      </w:divBdr>
    </w:div>
    <w:div w:id="703746716">
      <w:bodyDiv w:val="1"/>
      <w:marLeft w:val="0"/>
      <w:marRight w:val="0"/>
      <w:marTop w:val="0"/>
      <w:marBottom w:val="0"/>
      <w:divBdr>
        <w:top w:val="none" w:sz="0" w:space="0" w:color="auto"/>
        <w:left w:val="none" w:sz="0" w:space="0" w:color="auto"/>
        <w:bottom w:val="none" w:sz="0" w:space="0" w:color="auto"/>
        <w:right w:val="none" w:sz="0" w:space="0" w:color="auto"/>
      </w:divBdr>
    </w:div>
    <w:div w:id="708068107">
      <w:bodyDiv w:val="1"/>
      <w:marLeft w:val="0"/>
      <w:marRight w:val="0"/>
      <w:marTop w:val="0"/>
      <w:marBottom w:val="0"/>
      <w:divBdr>
        <w:top w:val="none" w:sz="0" w:space="0" w:color="auto"/>
        <w:left w:val="none" w:sz="0" w:space="0" w:color="auto"/>
        <w:bottom w:val="none" w:sz="0" w:space="0" w:color="auto"/>
        <w:right w:val="none" w:sz="0" w:space="0" w:color="auto"/>
      </w:divBdr>
    </w:div>
    <w:div w:id="736780335">
      <w:bodyDiv w:val="1"/>
      <w:marLeft w:val="0"/>
      <w:marRight w:val="0"/>
      <w:marTop w:val="0"/>
      <w:marBottom w:val="0"/>
      <w:divBdr>
        <w:top w:val="none" w:sz="0" w:space="0" w:color="auto"/>
        <w:left w:val="none" w:sz="0" w:space="0" w:color="auto"/>
        <w:bottom w:val="none" w:sz="0" w:space="0" w:color="auto"/>
        <w:right w:val="none" w:sz="0" w:space="0" w:color="auto"/>
      </w:divBdr>
    </w:div>
    <w:div w:id="740758552">
      <w:bodyDiv w:val="1"/>
      <w:marLeft w:val="0"/>
      <w:marRight w:val="0"/>
      <w:marTop w:val="0"/>
      <w:marBottom w:val="0"/>
      <w:divBdr>
        <w:top w:val="none" w:sz="0" w:space="0" w:color="auto"/>
        <w:left w:val="none" w:sz="0" w:space="0" w:color="auto"/>
        <w:bottom w:val="none" w:sz="0" w:space="0" w:color="auto"/>
        <w:right w:val="none" w:sz="0" w:space="0" w:color="auto"/>
      </w:divBdr>
    </w:div>
    <w:div w:id="741224037">
      <w:bodyDiv w:val="1"/>
      <w:marLeft w:val="0"/>
      <w:marRight w:val="0"/>
      <w:marTop w:val="0"/>
      <w:marBottom w:val="0"/>
      <w:divBdr>
        <w:top w:val="none" w:sz="0" w:space="0" w:color="auto"/>
        <w:left w:val="none" w:sz="0" w:space="0" w:color="auto"/>
        <w:bottom w:val="none" w:sz="0" w:space="0" w:color="auto"/>
        <w:right w:val="none" w:sz="0" w:space="0" w:color="auto"/>
      </w:divBdr>
    </w:div>
    <w:div w:id="775833569">
      <w:bodyDiv w:val="1"/>
      <w:marLeft w:val="0"/>
      <w:marRight w:val="0"/>
      <w:marTop w:val="0"/>
      <w:marBottom w:val="0"/>
      <w:divBdr>
        <w:top w:val="none" w:sz="0" w:space="0" w:color="auto"/>
        <w:left w:val="none" w:sz="0" w:space="0" w:color="auto"/>
        <w:bottom w:val="none" w:sz="0" w:space="0" w:color="auto"/>
        <w:right w:val="none" w:sz="0" w:space="0" w:color="auto"/>
      </w:divBdr>
    </w:div>
    <w:div w:id="793327654">
      <w:bodyDiv w:val="1"/>
      <w:marLeft w:val="0"/>
      <w:marRight w:val="0"/>
      <w:marTop w:val="0"/>
      <w:marBottom w:val="0"/>
      <w:divBdr>
        <w:top w:val="none" w:sz="0" w:space="0" w:color="auto"/>
        <w:left w:val="none" w:sz="0" w:space="0" w:color="auto"/>
        <w:bottom w:val="none" w:sz="0" w:space="0" w:color="auto"/>
        <w:right w:val="none" w:sz="0" w:space="0" w:color="auto"/>
      </w:divBdr>
    </w:div>
    <w:div w:id="807087234">
      <w:bodyDiv w:val="1"/>
      <w:marLeft w:val="0"/>
      <w:marRight w:val="0"/>
      <w:marTop w:val="0"/>
      <w:marBottom w:val="0"/>
      <w:divBdr>
        <w:top w:val="none" w:sz="0" w:space="0" w:color="auto"/>
        <w:left w:val="none" w:sz="0" w:space="0" w:color="auto"/>
        <w:bottom w:val="none" w:sz="0" w:space="0" w:color="auto"/>
        <w:right w:val="none" w:sz="0" w:space="0" w:color="auto"/>
      </w:divBdr>
    </w:div>
    <w:div w:id="834032324">
      <w:bodyDiv w:val="1"/>
      <w:marLeft w:val="0"/>
      <w:marRight w:val="0"/>
      <w:marTop w:val="0"/>
      <w:marBottom w:val="0"/>
      <w:divBdr>
        <w:top w:val="none" w:sz="0" w:space="0" w:color="auto"/>
        <w:left w:val="none" w:sz="0" w:space="0" w:color="auto"/>
        <w:bottom w:val="none" w:sz="0" w:space="0" w:color="auto"/>
        <w:right w:val="none" w:sz="0" w:space="0" w:color="auto"/>
      </w:divBdr>
    </w:div>
    <w:div w:id="846945704">
      <w:bodyDiv w:val="1"/>
      <w:marLeft w:val="0"/>
      <w:marRight w:val="0"/>
      <w:marTop w:val="0"/>
      <w:marBottom w:val="0"/>
      <w:divBdr>
        <w:top w:val="none" w:sz="0" w:space="0" w:color="auto"/>
        <w:left w:val="none" w:sz="0" w:space="0" w:color="auto"/>
        <w:bottom w:val="none" w:sz="0" w:space="0" w:color="auto"/>
        <w:right w:val="none" w:sz="0" w:space="0" w:color="auto"/>
      </w:divBdr>
      <w:divsChild>
        <w:div w:id="477116638">
          <w:marLeft w:val="1166"/>
          <w:marRight w:val="0"/>
          <w:marTop w:val="0"/>
          <w:marBottom w:val="0"/>
          <w:divBdr>
            <w:top w:val="none" w:sz="0" w:space="0" w:color="auto"/>
            <w:left w:val="none" w:sz="0" w:space="0" w:color="auto"/>
            <w:bottom w:val="none" w:sz="0" w:space="0" w:color="auto"/>
            <w:right w:val="none" w:sz="0" w:space="0" w:color="auto"/>
          </w:divBdr>
        </w:div>
      </w:divsChild>
    </w:div>
    <w:div w:id="864976528">
      <w:bodyDiv w:val="1"/>
      <w:marLeft w:val="0"/>
      <w:marRight w:val="0"/>
      <w:marTop w:val="0"/>
      <w:marBottom w:val="0"/>
      <w:divBdr>
        <w:top w:val="none" w:sz="0" w:space="0" w:color="auto"/>
        <w:left w:val="none" w:sz="0" w:space="0" w:color="auto"/>
        <w:bottom w:val="none" w:sz="0" w:space="0" w:color="auto"/>
        <w:right w:val="none" w:sz="0" w:space="0" w:color="auto"/>
      </w:divBdr>
    </w:div>
    <w:div w:id="900866705">
      <w:bodyDiv w:val="1"/>
      <w:marLeft w:val="0"/>
      <w:marRight w:val="0"/>
      <w:marTop w:val="0"/>
      <w:marBottom w:val="0"/>
      <w:divBdr>
        <w:top w:val="none" w:sz="0" w:space="0" w:color="auto"/>
        <w:left w:val="none" w:sz="0" w:space="0" w:color="auto"/>
        <w:bottom w:val="none" w:sz="0" w:space="0" w:color="auto"/>
        <w:right w:val="none" w:sz="0" w:space="0" w:color="auto"/>
      </w:divBdr>
    </w:div>
    <w:div w:id="901453785">
      <w:bodyDiv w:val="1"/>
      <w:marLeft w:val="0"/>
      <w:marRight w:val="0"/>
      <w:marTop w:val="0"/>
      <w:marBottom w:val="0"/>
      <w:divBdr>
        <w:top w:val="none" w:sz="0" w:space="0" w:color="auto"/>
        <w:left w:val="none" w:sz="0" w:space="0" w:color="auto"/>
        <w:bottom w:val="none" w:sz="0" w:space="0" w:color="auto"/>
        <w:right w:val="none" w:sz="0" w:space="0" w:color="auto"/>
      </w:divBdr>
    </w:div>
    <w:div w:id="962076896">
      <w:bodyDiv w:val="1"/>
      <w:marLeft w:val="0"/>
      <w:marRight w:val="0"/>
      <w:marTop w:val="0"/>
      <w:marBottom w:val="0"/>
      <w:divBdr>
        <w:top w:val="none" w:sz="0" w:space="0" w:color="auto"/>
        <w:left w:val="none" w:sz="0" w:space="0" w:color="auto"/>
        <w:bottom w:val="none" w:sz="0" w:space="0" w:color="auto"/>
        <w:right w:val="none" w:sz="0" w:space="0" w:color="auto"/>
      </w:divBdr>
    </w:div>
    <w:div w:id="971402237">
      <w:bodyDiv w:val="1"/>
      <w:marLeft w:val="0"/>
      <w:marRight w:val="0"/>
      <w:marTop w:val="0"/>
      <w:marBottom w:val="0"/>
      <w:divBdr>
        <w:top w:val="none" w:sz="0" w:space="0" w:color="auto"/>
        <w:left w:val="none" w:sz="0" w:space="0" w:color="auto"/>
        <w:bottom w:val="none" w:sz="0" w:space="0" w:color="auto"/>
        <w:right w:val="none" w:sz="0" w:space="0" w:color="auto"/>
      </w:divBdr>
    </w:div>
    <w:div w:id="983314974">
      <w:bodyDiv w:val="1"/>
      <w:marLeft w:val="0"/>
      <w:marRight w:val="0"/>
      <w:marTop w:val="0"/>
      <w:marBottom w:val="0"/>
      <w:divBdr>
        <w:top w:val="none" w:sz="0" w:space="0" w:color="auto"/>
        <w:left w:val="none" w:sz="0" w:space="0" w:color="auto"/>
        <w:bottom w:val="none" w:sz="0" w:space="0" w:color="auto"/>
        <w:right w:val="none" w:sz="0" w:space="0" w:color="auto"/>
      </w:divBdr>
    </w:div>
    <w:div w:id="986862635">
      <w:bodyDiv w:val="1"/>
      <w:marLeft w:val="0"/>
      <w:marRight w:val="0"/>
      <w:marTop w:val="0"/>
      <w:marBottom w:val="0"/>
      <w:divBdr>
        <w:top w:val="none" w:sz="0" w:space="0" w:color="auto"/>
        <w:left w:val="none" w:sz="0" w:space="0" w:color="auto"/>
        <w:bottom w:val="none" w:sz="0" w:space="0" w:color="auto"/>
        <w:right w:val="none" w:sz="0" w:space="0" w:color="auto"/>
      </w:divBdr>
      <w:divsChild>
        <w:div w:id="1951889778">
          <w:marLeft w:val="0"/>
          <w:marRight w:val="0"/>
          <w:marTop w:val="0"/>
          <w:marBottom w:val="0"/>
          <w:divBdr>
            <w:top w:val="none" w:sz="0" w:space="0" w:color="auto"/>
            <w:left w:val="none" w:sz="0" w:space="0" w:color="auto"/>
            <w:bottom w:val="none" w:sz="0" w:space="0" w:color="auto"/>
            <w:right w:val="none" w:sz="0" w:space="0" w:color="auto"/>
          </w:divBdr>
          <w:divsChild>
            <w:div w:id="1093547528">
              <w:marLeft w:val="0"/>
              <w:marRight w:val="0"/>
              <w:marTop w:val="0"/>
              <w:marBottom w:val="0"/>
              <w:divBdr>
                <w:top w:val="none" w:sz="0" w:space="0" w:color="auto"/>
                <w:left w:val="none" w:sz="0" w:space="0" w:color="auto"/>
                <w:bottom w:val="none" w:sz="0" w:space="0" w:color="auto"/>
                <w:right w:val="none" w:sz="0" w:space="0" w:color="auto"/>
              </w:divBdr>
              <w:divsChild>
                <w:div w:id="578633107">
                  <w:marLeft w:val="0"/>
                  <w:marRight w:val="0"/>
                  <w:marTop w:val="0"/>
                  <w:marBottom w:val="0"/>
                  <w:divBdr>
                    <w:top w:val="none" w:sz="0" w:space="0" w:color="auto"/>
                    <w:left w:val="none" w:sz="0" w:space="0" w:color="auto"/>
                    <w:bottom w:val="none" w:sz="0" w:space="0" w:color="auto"/>
                    <w:right w:val="none" w:sz="0" w:space="0" w:color="auto"/>
                  </w:divBdr>
                  <w:divsChild>
                    <w:div w:id="10119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774314">
      <w:bodyDiv w:val="1"/>
      <w:marLeft w:val="0"/>
      <w:marRight w:val="0"/>
      <w:marTop w:val="0"/>
      <w:marBottom w:val="0"/>
      <w:divBdr>
        <w:top w:val="none" w:sz="0" w:space="0" w:color="auto"/>
        <w:left w:val="none" w:sz="0" w:space="0" w:color="auto"/>
        <w:bottom w:val="none" w:sz="0" w:space="0" w:color="auto"/>
        <w:right w:val="none" w:sz="0" w:space="0" w:color="auto"/>
      </w:divBdr>
    </w:div>
    <w:div w:id="1025252620">
      <w:bodyDiv w:val="1"/>
      <w:marLeft w:val="0"/>
      <w:marRight w:val="0"/>
      <w:marTop w:val="0"/>
      <w:marBottom w:val="0"/>
      <w:divBdr>
        <w:top w:val="none" w:sz="0" w:space="0" w:color="auto"/>
        <w:left w:val="none" w:sz="0" w:space="0" w:color="auto"/>
        <w:bottom w:val="none" w:sz="0" w:space="0" w:color="auto"/>
        <w:right w:val="none" w:sz="0" w:space="0" w:color="auto"/>
      </w:divBdr>
    </w:div>
    <w:div w:id="1045761964">
      <w:bodyDiv w:val="1"/>
      <w:marLeft w:val="0"/>
      <w:marRight w:val="0"/>
      <w:marTop w:val="0"/>
      <w:marBottom w:val="0"/>
      <w:divBdr>
        <w:top w:val="none" w:sz="0" w:space="0" w:color="auto"/>
        <w:left w:val="none" w:sz="0" w:space="0" w:color="auto"/>
        <w:bottom w:val="none" w:sz="0" w:space="0" w:color="auto"/>
        <w:right w:val="none" w:sz="0" w:space="0" w:color="auto"/>
      </w:divBdr>
    </w:div>
    <w:div w:id="1047411345">
      <w:bodyDiv w:val="1"/>
      <w:marLeft w:val="0"/>
      <w:marRight w:val="0"/>
      <w:marTop w:val="0"/>
      <w:marBottom w:val="0"/>
      <w:divBdr>
        <w:top w:val="none" w:sz="0" w:space="0" w:color="auto"/>
        <w:left w:val="none" w:sz="0" w:space="0" w:color="auto"/>
        <w:bottom w:val="none" w:sz="0" w:space="0" w:color="auto"/>
        <w:right w:val="none" w:sz="0" w:space="0" w:color="auto"/>
      </w:divBdr>
    </w:div>
    <w:div w:id="1076440817">
      <w:bodyDiv w:val="1"/>
      <w:marLeft w:val="0"/>
      <w:marRight w:val="0"/>
      <w:marTop w:val="0"/>
      <w:marBottom w:val="0"/>
      <w:divBdr>
        <w:top w:val="none" w:sz="0" w:space="0" w:color="auto"/>
        <w:left w:val="none" w:sz="0" w:space="0" w:color="auto"/>
        <w:bottom w:val="none" w:sz="0" w:space="0" w:color="auto"/>
        <w:right w:val="none" w:sz="0" w:space="0" w:color="auto"/>
      </w:divBdr>
    </w:div>
    <w:div w:id="1082262216">
      <w:bodyDiv w:val="1"/>
      <w:marLeft w:val="0"/>
      <w:marRight w:val="0"/>
      <w:marTop w:val="0"/>
      <w:marBottom w:val="0"/>
      <w:divBdr>
        <w:top w:val="none" w:sz="0" w:space="0" w:color="auto"/>
        <w:left w:val="none" w:sz="0" w:space="0" w:color="auto"/>
        <w:bottom w:val="none" w:sz="0" w:space="0" w:color="auto"/>
        <w:right w:val="none" w:sz="0" w:space="0" w:color="auto"/>
      </w:divBdr>
    </w:div>
    <w:div w:id="1103844356">
      <w:bodyDiv w:val="1"/>
      <w:marLeft w:val="0"/>
      <w:marRight w:val="0"/>
      <w:marTop w:val="0"/>
      <w:marBottom w:val="0"/>
      <w:divBdr>
        <w:top w:val="none" w:sz="0" w:space="0" w:color="auto"/>
        <w:left w:val="none" w:sz="0" w:space="0" w:color="auto"/>
        <w:bottom w:val="none" w:sz="0" w:space="0" w:color="auto"/>
        <w:right w:val="none" w:sz="0" w:space="0" w:color="auto"/>
      </w:divBdr>
      <w:divsChild>
        <w:div w:id="1603025746">
          <w:marLeft w:val="0"/>
          <w:marRight w:val="0"/>
          <w:marTop w:val="0"/>
          <w:marBottom w:val="0"/>
          <w:divBdr>
            <w:top w:val="none" w:sz="0" w:space="0" w:color="auto"/>
            <w:left w:val="none" w:sz="0" w:space="0" w:color="auto"/>
            <w:bottom w:val="none" w:sz="0" w:space="0" w:color="auto"/>
            <w:right w:val="none" w:sz="0" w:space="0" w:color="auto"/>
          </w:divBdr>
        </w:div>
      </w:divsChild>
    </w:div>
    <w:div w:id="1116825974">
      <w:bodyDiv w:val="1"/>
      <w:marLeft w:val="0"/>
      <w:marRight w:val="0"/>
      <w:marTop w:val="0"/>
      <w:marBottom w:val="0"/>
      <w:divBdr>
        <w:top w:val="none" w:sz="0" w:space="0" w:color="auto"/>
        <w:left w:val="none" w:sz="0" w:space="0" w:color="auto"/>
        <w:bottom w:val="none" w:sz="0" w:space="0" w:color="auto"/>
        <w:right w:val="none" w:sz="0" w:space="0" w:color="auto"/>
      </w:divBdr>
    </w:div>
    <w:div w:id="1123497533">
      <w:bodyDiv w:val="1"/>
      <w:marLeft w:val="0"/>
      <w:marRight w:val="0"/>
      <w:marTop w:val="0"/>
      <w:marBottom w:val="0"/>
      <w:divBdr>
        <w:top w:val="none" w:sz="0" w:space="0" w:color="auto"/>
        <w:left w:val="none" w:sz="0" w:space="0" w:color="auto"/>
        <w:bottom w:val="none" w:sz="0" w:space="0" w:color="auto"/>
        <w:right w:val="none" w:sz="0" w:space="0" w:color="auto"/>
      </w:divBdr>
    </w:div>
    <w:div w:id="1134250190">
      <w:bodyDiv w:val="1"/>
      <w:marLeft w:val="0"/>
      <w:marRight w:val="0"/>
      <w:marTop w:val="0"/>
      <w:marBottom w:val="0"/>
      <w:divBdr>
        <w:top w:val="none" w:sz="0" w:space="0" w:color="auto"/>
        <w:left w:val="none" w:sz="0" w:space="0" w:color="auto"/>
        <w:bottom w:val="none" w:sz="0" w:space="0" w:color="auto"/>
        <w:right w:val="none" w:sz="0" w:space="0" w:color="auto"/>
      </w:divBdr>
    </w:div>
    <w:div w:id="1151367188">
      <w:bodyDiv w:val="1"/>
      <w:marLeft w:val="0"/>
      <w:marRight w:val="0"/>
      <w:marTop w:val="0"/>
      <w:marBottom w:val="0"/>
      <w:divBdr>
        <w:top w:val="none" w:sz="0" w:space="0" w:color="auto"/>
        <w:left w:val="none" w:sz="0" w:space="0" w:color="auto"/>
        <w:bottom w:val="none" w:sz="0" w:space="0" w:color="auto"/>
        <w:right w:val="none" w:sz="0" w:space="0" w:color="auto"/>
      </w:divBdr>
      <w:divsChild>
        <w:div w:id="969021847">
          <w:marLeft w:val="0"/>
          <w:marRight w:val="0"/>
          <w:marTop w:val="0"/>
          <w:marBottom w:val="0"/>
          <w:divBdr>
            <w:top w:val="none" w:sz="0" w:space="0" w:color="auto"/>
            <w:left w:val="none" w:sz="0" w:space="0" w:color="auto"/>
            <w:bottom w:val="none" w:sz="0" w:space="0" w:color="auto"/>
            <w:right w:val="none" w:sz="0" w:space="0" w:color="auto"/>
          </w:divBdr>
          <w:divsChild>
            <w:div w:id="813374080">
              <w:marLeft w:val="0"/>
              <w:marRight w:val="0"/>
              <w:marTop w:val="0"/>
              <w:marBottom w:val="0"/>
              <w:divBdr>
                <w:top w:val="none" w:sz="0" w:space="0" w:color="auto"/>
                <w:left w:val="none" w:sz="0" w:space="0" w:color="auto"/>
                <w:bottom w:val="none" w:sz="0" w:space="0" w:color="auto"/>
                <w:right w:val="none" w:sz="0" w:space="0" w:color="auto"/>
              </w:divBdr>
              <w:divsChild>
                <w:div w:id="50202315">
                  <w:marLeft w:val="0"/>
                  <w:marRight w:val="0"/>
                  <w:marTop w:val="0"/>
                  <w:marBottom w:val="0"/>
                  <w:divBdr>
                    <w:top w:val="none" w:sz="0" w:space="0" w:color="auto"/>
                    <w:left w:val="none" w:sz="0" w:space="0" w:color="auto"/>
                    <w:bottom w:val="none" w:sz="0" w:space="0" w:color="auto"/>
                    <w:right w:val="none" w:sz="0" w:space="0" w:color="auto"/>
                  </w:divBdr>
                  <w:divsChild>
                    <w:div w:id="1772703663">
                      <w:marLeft w:val="1"/>
                      <w:marRight w:val="0"/>
                      <w:marTop w:val="1"/>
                      <w:marBottom w:val="1"/>
                      <w:divBdr>
                        <w:top w:val="none" w:sz="0" w:space="0" w:color="auto"/>
                        <w:left w:val="none" w:sz="0" w:space="0" w:color="auto"/>
                        <w:bottom w:val="none" w:sz="0" w:space="0" w:color="auto"/>
                        <w:right w:val="none" w:sz="0" w:space="0" w:color="auto"/>
                      </w:divBdr>
                      <w:divsChild>
                        <w:div w:id="160407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984897">
      <w:bodyDiv w:val="1"/>
      <w:marLeft w:val="0"/>
      <w:marRight w:val="0"/>
      <w:marTop w:val="0"/>
      <w:marBottom w:val="0"/>
      <w:divBdr>
        <w:top w:val="none" w:sz="0" w:space="0" w:color="auto"/>
        <w:left w:val="none" w:sz="0" w:space="0" w:color="auto"/>
        <w:bottom w:val="none" w:sz="0" w:space="0" w:color="auto"/>
        <w:right w:val="none" w:sz="0" w:space="0" w:color="auto"/>
      </w:divBdr>
    </w:div>
    <w:div w:id="1161850726">
      <w:bodyDiv w:val="1"/>
      <w:marLeft w:val="0"/>
      <w:marRight w:val="0"/>
      <w:marTop w:val="0"/>
      <w:marBottom w:val="0"/>
      <w:divBdr>
        <w:top w:val="none" w:sz="0" w:space="0" w:color="auto"/>
        <w:left w:val="none" w:sz="0" w:space="0" w:color="auto"/>
        <w:bottom w:val="none" w:sz="0" w:space="0" w:color="auto"/>
        <w:right w:val="none" w:sz="0" w:space="0" w:color="auto"/>
      </w:divBdr>
    </w:div>
    <w:div w:id="1174227301">
      <w:bodyDiv w:val="1"/>
      <w:marLeft w:val="0"/>
      <w:marRight w:val="0"/>
      <w:marTop w:val="0"/>
      <w:marBottom w:val="0"/>
      <w:divBdr>
        <w:top w:val="none" w:sz="0" w:space="0" w:color="auto"/>
        <w:left w:val="none" w:sz="0" w:space="0" w:color="auto"/>
        <w:bottom w:val="none" w:sz="0" w:space="0" w:color="auto"/>
        <w:right w:val="none" w:sz="0" w:space="0" w:color="auto"/>
      </w:divBdr>
    </w:div>
    <w:div w:id="1181313840">
      <w:bodyDiv w:val="1"/>
      <w:marLeft w:val="0"/>
      <w:marRight w:val="0"/>
      <w:marTop w:val="0"/>
      <w:marBottom w:val="0"/>
      <w:divBdr>
        <w:top w:val="none" w:sz="0" w:space="0" w:color="auto"/>
        <w:left w:val="none" w:sz="0" w:space="0" w:color="auto"/>
        <w:bottom w:val="none" w:sz="0" w:space="0" w:color="auto"/>
        <w:right w:val="none" w:sz="0" w:space="0" w:color="auto"/>
      </w:divBdr>
      <w:divsChild>
        <w:div w:id="1757633107">
          <w:marLeft w:val="0"/>
          <w:marRight w:val="0"/>
          <w:marTop w:val="0"/>
          <w:marBottom w:val="0"/>
          <w:divBdr>
            <w:top w:val="none" w:sz="0" w:space="0" w:color="auto"/>
            <w:left w:val="none" w:sz="0" w:space="0" w:color="auto"/>
            <w:bottom w:val="none" w:sz="0" w:space="0" w:color="auto"/>
            <w:right w:val="none" w:sz="0" w:space="0" w:color="auto"/>
          </w:divBdr>
          <w:divsChild>
            <w:div w:id="1089544634">
              <w:marLeft w:val="0"/>
              <w:marRight w:val="0"/>
              <w:marTop w:val="870"/>
              <w:marBottom w:val="0"/>
              <w:divBdr>
                <w:top w:val="none" w:sz="0" w:space="0" w:color="auto"/>
                <w:left w:val="none" w:sz="0" w:space="0" w:color="auto"/>
                <w:bottom w:val="none" w:sz="0" w:space="0" w:color="auto"/>
                <w:right w:val="none" w:sz="0" w:space="0" w:color="auto"/>
              </w:divBdr>
              <w:divsChild>
                <w:div w:id="2071996287">
                  <w:marLeft w:val="0"/>
                  <w:marRight w:val="0"/>
                  <w:marTop w:val="0"/>
                  <w:marBottom w:val="0"/>
                  <w:divBdr>
                    <w:top w:val="none" w:sz="0" w:space="0" w:color="auto"/>
                    <w:left w:val="none" w:sz="0" w:space="0" w:color="auto"/>
                    <w:bottom w:val="none" w:sz="0" w:space="0" w:color="auto"/>
                    <w:right w:val="none" w:sz="0" w:space="0" w:color="auto"/>
                  </w:divBdr>
                  <w:divsChild>
                    <w:div w:id="468329254">
                      <w:marLeft w:val="0"/>
                      <w:marRight w:val="0"/>
                      <w:marTop w:val="0"/>
                      <w:marBottom w:val="0"/>
                      <w:divBdr>
                        <w:top w:val="none" w:sz="0" w:space="0" w:color="auto"/>
                        <w:left w:val="none" w:sz="0" w:space="0" w:color="auto"/>
                        <w:bottom w:val="none" w:sz="0" w:space="0" w:color="auto"/>
                        <w:right w:val="none" w:sz="0" w:space="0" w:color="auto"/>
                      </w:divBdr>
                      <w:divsChild>
                        <w:div w:id="792674759">
                          <w:marLeft w:val="0"/>
                          <w:marRight w:val="0"/>
                          <w:marTop w:val="0"/>
                          <w:marBottom w:val="0"/>
                          <w:divBdr>
                            <w:top w:val="none" w:sz="0" w:space="0" w:color="auto"/>
                            <w:left w:val="none" w:sz="0" w:space="0" w:color="auto"/>
                            <w:bottom w:val="none" w:sz="0" w:space="0" w:color="auto"/>
                            <w:right w:val="none" w:sz="0" w:space="0" w:color="auto"/>
                          </w:divBdr>
                          <w:divsChild>
                            <w:div w:id="1907639982">
                              <w:marLeft w:val="0"/>
                              <w:marRight w:val="0"/>
                              <w:marTop w:val="0"/>
                              <w:marBottom w:val="0"/>
                              <w:divBdr>
                                <w:top w:val="none" w:sz="0" w:space="0" w:color="auto"/>
                                <w:left w:val="none" w:sz="0" w:space="0" w:color="auto"/>
                                <w:bottom w:val="none" w:sz="0" w:space="0" w:color="auto"/>
                                <w:right w:val="none" w:sz="0" w:space="0" w:color="auto"/>
                              </w:divBdr>
                              <w:divsChild>
                                <w:div w:id="15348469">
                                  <w:marLeft w:val="0"/>
                                  <w:marRight w:val="0"/>
                                  <w:marTop w:val="0"/>
                                  <w:marBottom w:val="0"/>
                                  <w:divBdr>
                                    <w:top w:val="none" w:sz="0" w:space="0" w:color="auto"/>
                                    <w:left w:val="none" w:sz="0" w:space="0" w:color="auto"/>
                                    <w:bottom w:val="none" w:sz="0" w:space="0" w:color="auto"/>
                                    <w:right w:val="none" w:sz="0" w:space="0" w:color="auto"/>
                                  </w:divBdr>
                                  <w:divsChild>
                                    <w:div w:id="5315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2746832">
      <w:bodyDiv w:val="1"/>
      <w:marLeft w:val="0"/>
      <w:marRight w:val="0"/>
      <w:marTop w:val="0"/>
      <w:marBottom w:val="0"/>
      <w:divBdr>
        <w:top w:val="none" w:sz="0" w:space="0" w:color="auto"/>
        <w:left w:val="none" w:sz="0" w:space="0" w:color="auto"/>
        <w:bottom w:val="none" w:sz="0" w:space="0" w:color="auto"/>
        <w:right w:val="none" w:sz="0" w:space="0" w:color="auto"/>
      </w:divBdr>
    </w:div>
    <w:div w:id="1193304076">
      <w:bodyDiv w:val="1"/>
      <w:marLeft w:val="0"/>
      <w:marRight w:val="0"/>
      <w:marTop w:val="0"/>
      <w:marBottom w:val="0"/>
      <w:divBdr>
        <w:top w:val="none" w:sz="0" w:space="0" w:color="auto"/>
        <w:left w:val="none" w:sz="0" w:space="0" w:color="auto"/>
        <w:bottom w:val="none" w:sz="0" w:space="0" w:color="auto"/>
        <w:right w:val="none" w:sz="0" w:space="0" w:color="auto"/>
      </w:divBdr>
    </w:div>
    <w:div w:id="1199586493">
      <w:bodyDiv w:val="1"/>
      <w:marLeft w:val="0"/>
      <w:marRight w:val="0"/>
      <w:marTop w:val="0"/>
      <w:marBottom w:val="0"/>
      <w:divBdr>
        <w:top w:val="none" w:sz="0" w:space="0" w:color="auto"/>
        <w:left w:val="none" w:sz="0" w:space="0" w:color="auto"/>
        <w:bottom w:val="none" w:sz="0" w:space="0" w:color="auto"/>
        <w:right w:val="none" w:sz="0" w:space="0" w:color="auto"/>
      </w:divBdr>
    </w:div>
    <w:div w:id="1206601581">
      <w:bodyDiv w:val="1"/>
      <w:marLeft w:val="0"/>
      <w:marRight w:val="0"/>
      <w:marTop w:val="0"/>
      <w:marBottom w:val="0"/>
      <w:divBdr>
        <w:top w:val="none" w:sz="0" w:space="0" w:color="auto"/>
        <w:left w:val="none" w:sz="0" w:space="0" w:color="auto"/>
        <w:bottom w:val="none" w:sz="0" w:space="0" w:color="auto"/>
        <w:right w:val="none" w:sz="0" w:space="0" w:color="auto"/>
      </w:divBdr>
    </w:div>
    <w:div w:id="1218980811">
      <w:bodyDiv w:val="1"/>
      <w:marLeft w:val="0"/>
      <w:marRight w:val="0"/>
      <w:marTop w:val="0"/>
      <w:marBottom w:val="0"/>
      <w:divBdr>
        <w:top w:val="none" w:sz="0" w:space="0" w:color="auto"/>
        <w:left w:val="none" w:sz="0" w:space="0" w:color="auto"/>
        <w:bottom w:val="none" w:sz="0" w:space="0" w:color="auto"/>
        <w:right w:val="none" w:sz="0" w:space="0" w:color="auto"/>
      </w:divBdr>
    </w:div>
    <w:div w:id="1247108974">
      <w:bodyDiv w:val="1"/>
      <w:marLeft w:val="0"/>
      <w:marRight w:val="0"/>
      <w:marTop w:val="0"/>
      <w:marBottom w:val="0"/>
      <w:divBdr>
        <w:top w:val="none" w:sz="0" w:space="0" w:color="auto"/>
        <w:left w:val="none" w:sz="0" w:space="0" w:color="auto"/>
        <w:bottom w:val="none" w:sz="0" w:space="0" w:color="auto"/>
        <w:right w:val="none" w:sz="0" w:space="0" w:color="auto"/>
      </w:divBdr>
    </w:div>
    <w:div w:id="1254702284">
      <w:bodyDiv w:val="1"/>
      <w:marLeft w:val="0"/>
      <w:marRight w:val="0"/>
      <w:marTop w:val="0"/>
      <w:marBottom w:val="0"/>
      <w:divBdr>
        <w:top w:val="none" w:sz="0" w:space="0" w:color="auto"/>
        <w:left w:val="none" w:sz="0" w:space="0" w:color="auto"/>
        <w:bottom w:val="none" w:sz="0" w:space="0" w:color="auto"/>
        <w:right w:val="none" w:sz="0" w:space="0" w:color="auto"/>
      </w:divBdr>
    </w:div>
    <w:div w:id="1294561720">
      <w:bodyDiv w:val="1"/>
      <w:marLeft w:val="0"/>
      <w:marRight w:val="0"/>
      <w:marTop w:val="0"/>
      <w:marBottom w:val="0"/>
      <w:divBdr>
        <w:top w:val="none" w:sz="0" w:space="0" w:color="auto"/>
        <w:left w:val="none" w:sz="0" w:space="0" w:color="auto"/>
        <w:bottom w:val="none" w:sz="0" w:space="0" w:color="auto"/>
        <w:right w:val="none" w:sz="0" w:space="0" w:color="auto"/>
      </w:divBdr>
    </w:div>
    <w:div w:id="1299140829">
      <w:bodyDiv w:val="1"/>
      <w:marLeft w:val="0"/>
      <w:marRight w:val="0"/>
      <w:marTop w:val="0"/>
      <w:marBottom w:val="0"/>
      <w:divBdr>
        <w:top w:val="none" w:sz="0" w:space="0" w:color="auto"/>
        <w:left w:val="none" w:sz="0" w:space="0" w:color="auto"/>
        <w:bottom w:val="none" w:sz="0" w:space="0" w:color="auto"/>
        <w:right w:val="none" w:sz="0" w:space="0" w:color="auto"/>
      </w:divBdr>
    </w:div>
    <w:div w:id="1299610023">
      <w:bodyDiv w:val="1"/>
      <w:marLeft w:val="0"/>
      <w:marRight w:val="0"/>
      <w:marTop w:val="0"/>
      <w:marBottom w:val="0"/>
      <w:divBdr>
        <w:top w:val="none" w:sz="0" w:space="0" w:color="auto"/>
        <w:left w:val="none" w:sz="0" w:space="0" w:color="auto"/>
        <w:bottom w:val="none" w:sz="0" w:space="0" w:color="auto"/>
        <w:right w:val="none" w:sz="0" w:space="0" w:color="auto"/>
      </w:divBdr>
    </w:div>
    <w:div w:id="1315798083">
      <w:bodyDiv w:val="1"/>
      <w:marLeft w:val="0"/>
      <w:marRight w:val="0"/>
      <w:marTop w:val="0"/>
      <w:marBottom w:val="0"/>
      <w:divBdr>
        <w:top w:val="none" w:sz="0" w:space="0" w:color="auto"/>
        <w:left w:val="none" w:sz="0" w:space="0" w:color="auto"/>
        <w:bottom w:val="none" w:sz="0" w:space="0" w:color="auto"/>
        <w:right w:val="none" w:sz="0" w:space="0" w:color="auto"/>
      </w:divBdr>
    </w:div>
    <w:div w:id="1328092448">
      <w:bodyDiv w:val="1"/>
      <w:marLeft w:val="0"/>
      <w:marRight w:val="0"/>
      <w:marTop w:val="0"/>
      <w:marBottom w:val="0"/>
      <w:divBdr>
        <w:top w:val="none" w:sz="0" w:space="0" w:color="auto"/>
        <w:left w:val="none" w:sz="0" w:space="0" w:color="auto"/>
        <w:bottom w:val="none" w:sz="0" w:space="0" w:color="auto"/>
        <w:right w:val="none" w:sz="0" w:space="0" w:color="auto"/>
      </w:divBdr>
    </w:div>
    <w:div w:id="1368138559">
      <w:bodyDiv w:val="1"/>
      <w:marLeft w:val="0"/>
      <w:marRight w:val="0"/>
      <w:marTop w:val="0"/>
      <w:marBottom w:val="0"/>
      <w:divBdr>
        <w:top w:val="none" w:sz="0" w:space="0" w:color="auto"/>
        <w:left w:val="none" w:sz="0" w:space="0" w:color="auto"/>
        <w:bottom w:val="none" w:sz="0" w:space="0" w:color="auto"/>
        <w:right w:val="none" w:sz="0" w:space="0" w:color="auto"/>
      </w:divBdr>
    </w:div>
    <w:div w:id="1372462867">
      <w:bodyDiv w:val="1"/>
      <w:marLeft w:val="0"/>
      <w:marRight w:val="0"/>
      <w:marTop w:val="0"/>
      <w:marBottom w:val="0"/>
      <w:divBdr>
        <w:top w:val="none" w:sz="0" w:space="0" w:color="auto"/>
        <w:left w:val="none" w:sz="0" w:space="0" w:color="auto"/>
        <w:bottom w:val="none" w:sz="0" w:space="0" w:color="auto"/>
        <w:right w:val="none" w:sz="0" w:space="0" w:color="auto"/>
      </w:divBdr>
    </w:div>
    <w:div w:id="1378895558">
      <w:bodyDiv w:val="1"/>
      <w:marLeft w:val="0"/>
      <w:marRight w:val="0"/>
      <w:marTop w:val="0"/>
      <w:marBottom w:val="0"/>
      <w:divBdr>
        <w:top w:val="none" w:sz="0" w:space="0" w:color="auto"/>
        <w:left w:val="none" w:sz="0" w:space="0" w:color="auto"/>
        <w:bottom w:val="none" w:sz="0" w:space="0" w:color="auto"/>
        <w:right w:val="none" w:sz="0" w:space="0" w:color="auto"/>
      </w:divBdr>
    </w:div>
    <w:div w:id="1384062885">
      <w:bodyDiv w:val="1"/>
      <w:marLeft w:val="0"/>
      <w:marRight w:val="0"/>
      <w:marTop w:val="0"/>
      <w:marBottom w:val="0"/>
      <w:divBdr>
        <w:top w:val="none" w:sz="0" w:space="0" w:color="auto"/>
        <w:left w:val="none" w:sz="0" w:space="0" w:color="auto"/>
        <w:bottom w:val="none" w:sz="0" w:space="0" w:color="auto"/>
        <w:right w:val="none" w:sz="0" w:space="0" w:color="auto"/>
      </w:divBdr>
    </w:div>
    <w:div w:id="1392846207">
      <w:bodyDiv w:val="1"/>
      <w:marLeft w:val="0"/>
      <w:marRight w:val="0"/>
      <w:marTop w:val="0"/>
      <w:marBottom w:val="0"/>
      <w:divBdr>
        <w:top w:val="none" w:sz="0" w:space="0" w:color="auto"/>
        <w:left w:val="none" w:sz="0" w:space="0" w:color="auto"/>
        <w:bottom w:val="none" w:sz="0" w:space="0" w:color="auto"/>
        <w:right w:val="none" w:sz="0" w:space="0" w:color="auto"/>
      </w:divBdr>
    </w:div>
    <w:div w:id="1405227779">
      <w:bodyDiv w:val="1"/>
      <w:marLeft w:val="0"/>
      <w:marRight w:val="0"/>
      <w:marTop w:val="0"/>
      <w:marBottom w:val="0"/>
      <w:divBdr>
        <w:top w:val="none" w:sz="0" w:space="0" w:color="auto"/>
        <w:left w:val="none" w:sz="0" w:space="0" w:color="auto"/>
        <w:bottom w:val="none" w:sz="0" w:space="0" w:color="auto"/>
        <w:right w:val="none" w:sz="0" w:space="0" w:color="auto"/>
      </w:divBdr>
    </w:div>
    <w:div w:id="1412779782">
      <w:bodyDiv w:val="1"/>
      <w:marLeft w:val="0"/>
      <w:marRight w:val="0"/>
      <w:marTop w:val="0"/>
      <w:marBottom w:val="0"/>
      <w:divBdr>
        <w:top w:val="none" w:sz="0" w:space="0" w:color="auto"/>
        <w:left w:val="none" w:sz="0" w:space="0" w:color="auto"/>
        <w:bottom w:val="none" w:sz="0" w:space="0" w:color="auto"/>
        <w:right w:val="none" w:sz="0" w:space="0" w:color="auto"/>
      </w:divBdr>
    </w:div>
    <w:div w:id="1427313320">
      <w:bodyDiv w:val="1"/>
      <w:marLeft w:val="0"/>
      <w:marRight w:val="0"/>
      <w:marTop w:val="0"/>
      <w:marBottom w:val="0"/>
      <w:divBdr>
        <w:top w:val="none" w:sz="0" w:space="0" w:color="auto"/>
        <w:left w:val="none" w:sz="0" w:space="0" w:color="auto"/>
        <w:bottom w:val="none" w:sz="0" w:space="0" w:color="auto"/>
        <w:right w:val="none" w:sz="0" w:space="0" w:color="auto"/>
      </w:divBdr>
    </w:div>
    <w:div w:id="1438676081">
      <w:bodyDiv w:val="1"/>
      <w:marLeft w:val="0"/>
      <w:marRight w:val="0"/>
      <w:marTop w:val="0"/>
      <w:marBottom w:val="0"/>
      <w:divBdr>
        <w:top w:val="none" w:sz="0" w:space="0" w:color="auto"/>
        <w:left w:val="none" w:sz="0" w:space="0" w:color="auto"/>
        <w:bottom w:val="none" w:sz="0" w:space="0" w:color="auto"/>
        <w:right w:val="none" w:sz="0" w:space="0" w:color="auto"/>
      </w:divBdr>
    </w:div>
    <w:div w:id="1451168745">
      <w:bodyDiv w:val="1"/>
      <w:marLeft w:val="0"/>
      <w:marRight w:val="0"/>
      <w:marTop w:val="0"/>
      <w:marBottom w:val="0"/>
      <w:divBdr>
        <w:top w:val="none" w:sz="0" w:space="0" w:color="auto"/>
        <w:left w:val="none" w:sz="0" w:space="0" w:color="auto"/>
        <w:bottom w:val="none" w:sz="0" w:space="0" w:color="auto"/>
        <w:right w:val="none" w:sz="0" w:space="0" w:color="auto"/>
      </w:divBdr>
    </w:div>
    <w:div w:id="1470170346">
      <w:bodyDiv w:val="1"/>
      <w:marLeft w:val="0"/>
      <w:marRight w:val="0"/>
      <w:marTop w:val="0"/>
      <w:marBottom w:val="0"/>
      <w:divBdr>
        <w:top w:val="none" w:sz="0" w:space="0" w:color="auto"/>
        <w:left w:val="none" w:sz="0" w:space="0" w:color="auto"/>
        <w:bottom w:val="none" w:sz="0" w:space="0" w:color="auto"/>
        <w:right w:val="none" w:sz="0" w:space="0" w:color="auto"/>
      </w:divBdr>
      <w:divsChild>
        <w:div w:id="447047729">
          <w:marLeft w:val="547"/>
          <w:marRight w:val="0"/>
          <w:marTop w:val="86"/>
          <w:marBottom w:val="0"/>
          <w:divBdr>
            <w:top w:val="none" w:sz="0" w:space="0" w:color="auto"/>
            <w:left w:val="none" w:sz="0" w:space="0" w:color="auto"/>
            <w:bottom w:val="none" w:sz="0" w:space="0" w:color="auto"/>
            <w:right w:val="none" w:sz="0" w:space="0" w:color="auto"/>
          </w:divBdr>
        </w:div>
        <w:div w:id="471144962">
          <w:marLeft w:val="547"/>
          <w:marRight w:val="0"/>
          <w:marTop w:val="86"/>
          <w:marBottom w:val="0"/>
          <w:divBdr>
            <w:top w:val="none" w:sz="0" w:space="0" w:color="auto"/>
            <w:left w:val="none" w:sz="0" w:space="0" w:color="auto"/>
            <w:bottom w:val="none" w:sz="0" w:space="0" w:color="auto"/>
            <w:right w:val="none" w:sz="0" w:space="0" w:color="auto"/>
          </w:divBdr>
        </w:div>
      </w:divsChild>
    </w:div>
    <w:div w:id="1497844490">
      <w:bodyDiv w:val="1"/>
      <w:marLeft w:val="0"/>
      <w:marRight w:val="0"/>
      <w:marTop w:val="0"/>
      <w:marBottom w:val="0"/>
      <w:divBdr>
        <w:top w:val="none" w:sz="0" w:space="0" w:color="auto"/>
        <w:left w:val="none" w:sz="0" w:space="0" w:color="auto"/>
        <w:bottom w:val="none" w:sz="0" w:space="0" w:color="auto"/>
        <w:right w:val="none" w:sz="0" w:space="0" w:color="auto"/>
      </w:divBdr>
    </w:div>
    <w:div w:id="1508597483">
      <w:bodyDiv w:val="1"/>
      <w:marLeft w:val="0"/>
      <w:marRight w:val="0"/>
      <w:marTop w:val="0"/>
      <w:marBottom w:val="0"/>
      <w:divBdr>
        <w:top w:val="none" w:sz="0" w:space="0" w:color="auto"/>
        <w:left w:val="none" w:sz="0" w:space="0" w:color="auto"/>
        <w:bottom w:val="none" w:sz="0" w:space="0" w:color="auto"/>
        <w:right w:val="none" w:sz="0" w:space="0" w:color="auto"/>
      </w:divBdr>
    </w:div>
    <w:div w:id="1533225882">
      <w:bodyDiv w:val="1"/>
      <w:marLeft w:val="0"/>
      <w:marRight w:val="0"/>
      <w:marTop w:val="0"/>
      <w:marBottom w:val="0"/>
      <w:divBdr>
        <w:top w:val="none" w:sz="0" w:space="0" w:color="auto"/>
        <w:left w:val="none" w:sz="0" w:space="0" w:color="auto"/>
        <w:bottom w:val="none" w:sz="0" w:space="0" w:color="auto"/>
        <w:right w:val="none" w:sz="0" w:space="0" w:color="auto"/>
      </w:divBdr>
      <w:divsChild>
        <w:div w:id="614215449">
          <w:marLeft w:val="547"/>
          <w:marRight w:val="0"/>
          <w:marTop w:val="86"/>
          <w:marBottom w:val="0"/>
          <w:divBdr>
            <w:top w:val="none" w:sz="0" w:space="0" w:color="auto"/>
            <w:left w:val="none" w:sz="0" w:space="0" w:color="auto"/>
            <w:bottom w:val="none" w:sz="0" w:space="0" w:color="auto"/>
            <w:right w:val="none" w:sz="0" w:space="0" w:color="auto"/>
          </w:divBdr>
        </w:div>
        <w:div w:id="1598901079">
          <w:marLeft w:val="547"/>
          <w:marRight w:val="0"/>
          <w:marTop w:val="86"/>
          <w:marBottom w:val="0"/>
          <w:divBdr>
            <w:top w:val="none" w:sz="0" w:space="0" w:color="auto"/>
            <w:left w:val="none" w:sz="0" w:space="0" w:color="auto"/>
            <w:bottom w:val="none" w:sz="0" w:space="0" w:color="auto"/>
            <w:right w:val="none" w:sz="0" w:space="0" w:color="auto"/>
          </w:divBdr>
        </w:div>
      </w:divsChild>
    </w:div>
    <w:div w:id="1550264234">
      <w:bodyDiv w:val="1"/>
      <w:marLeft w:val="0"/>
      <w:marRight w:val="0"/>
      <w:marTop w:val="0"/>
      <w:marBottom w:val="0"/>
      <w:divBdr>
        <w:top w:val="none" w:sz="0" w:space="0" w:color="auto"/>
        <w:left w:val="none" w:sz="0" w:space="0" w:color="auto"/>
        <w:bottom w:val="none" w:sz="0" w:space="0" w:color="auto"/>
        <w:right w:val="none" w:sz="0" w:space="0" w:color="auto"/>
      </w:divBdr>
      <w:divsChild>
        <w:div w:id="194778172">
          <w:marLeft w:val="1166"/>
          <w:marRight w:val="0"/>
          <w:marTop w:val="0"/>
          <w:marBottom w:val="0"/>
          <w:divBdr>
            <w:top w:val="none" w:sz="0" w:space="0" w:color="auto"/>
            <w:left w:val="none" w:sz="0" w:space="0" w:color="auto"/>
            <w:bottom w:val="none" w:sz="0" w:space="0" w:color="auto"/>
            <w:right w:val="none" w:sz="0" w:space="0" w:color="auto"/>
          </w:divBdr>
        </w:div>
      </w:divsChild>
    </w:div>
    <w:div w:id="1554735003">
      <w:bodyDiv w:val="1"/>
      <w:marLeft w:val="0"/>
      <w:marRight w:val="0"/>
      <w:marTop w:val="0"/>
      <w:marBottom w:val="0"/>
      <w:divBdr>
        <w:top w:val="none" w:sz="0" w:space="0" w:color="auto"/>
        <w:left w:val="none" w:sz="0" w:space="0" w:color="auto"/>
        <w:bottom w:val="none" w:sz="0" w:space="0" w:color="auto"/>
        <w:right w:val="none" w:sz="0" w:space="0" w:color="auto"/>
      </w:divBdr>
    </w:div>
    <w:div w:id="1556164590">
      <w:bodyDiv w:val="1"/>
      <w:marLeft w:val="0"/>
      <w:marRight w:val="0"/>
      <w:marTop w:val="0"/>
      <w:marBottom w:val="0"/>
      <w:divBdr>
        <w:top w:val="none" w:sz="0" w:space="0" w:color="auto"/>
        <w:left w:val="none" w:sz="0" w:space="0" w:color="auto"/>
        <w:bottom w:val="none" w:sz="0" w:space="0" w:color="auto"/>
        <w:right w:val="none" w:sz="0" w:space="0" w:color="auto"/>
      </w:divBdr>
    </w:div>
    <w:div w:id="1557083780">
      <w:bodyDiv w:val="1"/>
      <w:marLeft w:val="0"/>
      <w:marRight w:val="0"/>
      <w:marTop w:val="0"/>
      <w:marBottom w:val="0"/>
      <w:divBdr>
        <w:top w:val="none" w:sz="0" w:space="0" w:color="auto"/>
        <w:left w:val="none" w:sz="0" w:space="0" w:color="auto"/>
        <w:bottom w:val="none" w:sz="0" w:space="0" w:color="auto"/>
        <w:right w:val="none" w:sz="0" w:space="0" w:color="auto"/>
      </w:divBdr>
    </w:div>
    <w:div w:id="1562670861">
      <w:bodyDiv w:val="1"/>
      <w:marLeft w:val="0"/>
      <w:marRight w:val="0"/>
      <w:marTop w:val="0"/>
      <w:marBottom w:val="0"/>
      <w:divBdr>
        <w:top w:val="none" w:sz="0" w:space="0" w:color="auto"/>
        <w:left w:val="none" w:sz="0" w:space="0" w:color="auto"/>
        <w:bottom w:val="none" w:sz="0" w:space="0" w:color="auto"/>
        <w:right w:val="none" w:sz="0" w:space="0" w:color="auto"/>
      </w:divBdr>
    </w:div>
    <w:div w:id="1563102073">
      <w:bodyDiv w:val="1"/>
      <w:marLeft w:val="0"/>
      <w:marRight w:val="0"/>
      <w:marTop w:val="0"/>
      <w:marBottom w:val="0"/>
      <w:divBdr>
        <w:top w:val="none" w:sz="0" w:space="0" w:color="auto"/>
        <w:left w:val="none" w:sz="0" w:space="0" w:color="auto"/>
        <w:bottom w:val="none" w:sz="0" w:space="0" w:color="auto"/>
        <w:right w:val="none" w:sz="0" w:space="0" w:color="auto"/>
      </w:divBdr>
    </w:div>
    <w:div w:id="1568223042">
      <w:bodyDiv w:val="1"/>
      <w:marLeft w:val="0"/>
      <w:marRight w:val="0"/>
      <w:marTop w:val="0"/>
      <w:marBottom w:val="0"/>
      <w:divBdr>
        <w:top w:val="none" w:sz="0" w:space="0" w:color="auto"/>
        <w:left w:val="none" w:sz="0" w:space="0" w:color="auto"/>
        <w:bottom w:val="none" w:sz="0" w:space="0" w:color="auto"/>
        <w:right w:val="none" w:sz="0" w:space="0" w:color="auto"/>
      </w:divBdr>
    </w:div>
    <w:div w:id="1590508096">
      <w:bodyDiv w:val="1"/>
      <w:marLeft w:val="0"/>
      <w:marRight w:val="0"/>
      <w:marTop w:val="0"/>
      <w:marBottom w:val="0"/>
      <w:divBdr>
        <w:top w:val="none" w:sz="0" w:space="0" w:color="auto"/>
        <w:left w:val="none" w:sz="0" w:space="0" w:color="auto"/>
        <w:bottom w:val="none" w:sz="0" w:space="0" w:color="auto"/>
        <w:right w:val="none" w:sz="0" w:space="0" w:color="auto"/>
      </w:divBdr>
    </w:div>
    <w:div w:id="1597403601">
      <w:bodyDiv w:val="1"/>
      <w:marLeft w:val="0"/>
      <w:marRight w:val="0"/>
      <w:marTop w:val="0"/>
      <w:marBottom w:val="0"/>
      <w:divBdr>
        <w:top w:val="none" w:sz="0" w:space="0" w:color="auto"/>
        <w:left w:val="none" w:sz="0" w:space="0" w:color="auto"/>
        <w:bottom w:val="none" w:sz="0" w:space="0" w:color="auto"/>
        <w:right w:val="none" w:sz="0" w:space="0" w:color="auto"/>
      </w:divBdr>
    </w:div>
    <w:div w:id="1607271668">
      <w:bodyDiv w:val="1"/>
      <w:marLeft w:val="0"/>
      <w:marRight w:val="0"/>
      <w:marTop w:val="0"/>
      <w:marBottom w:val="0"/>
      <w:divBdr>
        <w:top w:val="none" w:sz="0" w:space="0" w:color="auto"/>
        <w:left w:val="none" w:sz="0" w:space="0" w:color="auto"/>
        <w:bottom w:val="none" w:sz="0" w:space="0" w:color="auto"/>
        <w:right w:val="none" w:sz="0" w:space="0" w:color="auto"/>
      </w:divBdr>
    </w:div>
    <w:div w:id="1616054658">
      <w:bodyDiv w:val="1"/>
      <w:marLeft w:val="0"/>
      <w:marRight w:val="0"/>
      <w:marTop w:val="0"/>
      <w:marBottom w:val="0"/>
      <w:divBdr>
        <w:top w:val="none" w:sz="0" w:space="0" w:color="auto"/>
        <w:left w:val="none" w:sz="0" w:space="0" w:color="auto"/>
        <w:bottom w:val="none" w:sz="0" w:space="0" w:color="auto"/>
        <w:right w:val="none" w:sz="0" w:space="0" w:color="auto"/>
      </w:divBdr>
      <w:divsChild>
        <w:div w:id="949169518">
          <w:marLeft w:val="0"/>
          <w:marRight w:val="0"/>
          <w:marTop w:val="0"/>
          <w:marBottom w:val="0"/>
          <w:divBdr>
            <w:top w:val="none" w:sz="0" w:space="0" w:color="auto"/>
            <w:left w:val="none" w:sz="0" w:space="0" w:color="auto"/>
            <w:bottom w:val="none" w:sz="0" w:space="0" w:color="auto"/>
            <w:right w:val="none" w:sz="0" w:space="0" w:color="auto"/>
          </w:divBdr>
          <w:divsChild>
            <w:div w:id="663511398">
              <w:marLeft w:val="0"/>
              <w:marRight w:val="0"/>
              <w:marTop w:val="0"/>
              <w:marBottom w:val="0"/>
              <w:divBdr>
                <w:top w:val="none" w:sz="0" w:space="0" w:color="auto"/>
                <w:left w:val="none" w:sz="0" w:space="0" w:color="auto"/>
                <w:bottom w:val="none" w:sz="0" w:space="0" w:color="auto"/>
                <w:right w:val="none" w:sz="0" w:space="0" w:color="auto"/>
              </w:divBdr>
            </w:div>
            <w:div w:id="1256982946">
              <w:marLeft w:val="0"/>
              <w:marRight w:val="0"/>
              <w:marTop w:val="0"/>
              <w:marBottom w:val="0"/>
              <w:divBdr>
                <w:top w:val="none" w:sz="0" w:space="0" w:color="auto"/>
                <w:left w:val="none" w:sz="0" w:space="0" w:color="auto"/>
                <w:bottom w:val="none" w:sz="0" w:space="0" w:color="auto"/>
                <w:right w:val="none" w:sz="0" w:space="0" w:color="auto"/>
              </w:divBdr>
            </w:div>
          </w:divsChild>
        </w:div>
        <w:div w:id="1863543408">
          <w:marLeft w:val="0"/>
          <w:marRight w:val="0"/>
          <w:marTop w:val="0"/>
          <w:marBottom w:val="0"/>
          <w:divBdr>
            <w:top w:val="none" w:sz="0" w:space="0" w:color="auto"/>
            <w:left w:val="none" w:sz="0" w:space="0" w:color="auto"/>
            <w:bottom w:val="none" w:sz="0" w:space="0" w:color="auto"/>
            <w:right w:val="none" w:sz="0" w:space="0" w:color="auto"/>
          </w:divBdr>
          <w:divsChild>
            <w:div w:id="518663177">
              <w:marLeft w:val="0"/>
              <w:marRight w:val="0"/>
              <w:marTop w:val="0"/>
              <w:marBottom w:val="0"/>
              <w:divBdr>
                <w:top w:val="none" w:sz="0" w:space="0" w:color="auto"/>
                <w:left w:val="none" w:sz="0" w:space="0" w:color="auto"/>
                <w:bottom w:val="none" w:sz="0" w:space="0" w:color="auto"/>
                <w:right w:val="none" w:sz="0" w:space="0" w:color="auto"/>
              </w:divBdr>
            </w:div>
            <w:div w:id="158290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08139">
      <w:bodyDiv w:val="1"/>
      <w:marLeft w:val="0"/>
      <w:marRight w:val="0"/>
      <w:marTop w:val="0"/>
      <w:marBottom w:val="0"/>
      <w:divBdr>
        <w:top w:val="none" w:sz="0" w:space="0" w:color="auto"/>
        <w:left w:val="none" w:sz="0" w:space="0" w:color="auto"/>
        <w:bottom w:val="none" w:sz="0" w:space="0" w:color="auto"/>
        <w:right w:val="none" w:sz="0" w:space="0" w:color="auto"/>
      </w:divBdr>
    </w:div>
    <w:div w:id="1636905953">
      <w:bodyDiv w:val="1"/>
      <w:marLeft w:val="0"/>
      <w:marRight w:val="0"/>
      <w:marTop w:val="0"/>
      <w:marBottom w:val="0"/>
      <w:divBdr>
        <w:top w:val="none" w:sz="0" w:space="0" w:color="auto"/>
        <w:left w:val="none" w:sz="0" w:space="0" w:color="auto"/>
        <w:bottom w:val="none" w:sz="0" w:space="0" w:color="auto"/>
        <w:right w:val="none" w:sz="0" w:space="0" w:color="auto"/>
      </w:divBdr>
    </w:div>
    <w:div w:id="1651129789">
      <w:bodyDiv w:val="1"/>
      <w:marLeft w:val="0"/>
      <w:marRight w:val="0"/>
      <w:marTop w:val="0"/>
      <w:marBottom w:val="0"/>
      <w:divBdr>
        <w:top w:val="none" w:sz="0" w:space="0" w:color="auto"/>
        <w:left w:val="none" w:sz="0" w:space="0" w:color="auto"/>
        <w:bottom w:val="none" w:sz="0" w:space="0" w:color="auto"/>
        <w:right w:val="none" w:sz="0" w:space="0" w:color="auto"/>
      </w:divBdr>
    </w:div>
    <w:div w:id="1653021544">
      <w:bodyDiv w:val="1"/>
      <w:marLeft w:val="0"/>
      <w:marRight w:val="0"/>
      <w:marTop w:val="0"/>
      <w:marBottom w:val="0"/>
      <w:divBdr>
        <w:top w:val="none" w:sz="0" w:space="0" w:color="auto"/>
        <w:left w:val="none" w:sz="0" w:space="0" w:color="auto"/>
        <w:bottom w:val="none" w:sz="0" w:space="0" w:color="auto"/>
        <w:right w:val="none" w:sz="0" w:space="0" w:color="auto"/>
      </w:divBdr>
    </w:div>
    <w:div w:id="1665208061">
      <w:bodyDiv w:val="1"/>
      <w:marLeft w:val="0"/>
      <w:marRight w:val="0"/>
      <w:marTop w:val="0"/>
      <w:marBottom w:val="0"/>
      <w:divBdr>
        <w:top w:val="none" w:sz="0" w:space="0" w:color="auto"/>
        <w:left w:val="none" w:sz="0" w:space="0" w:color="auto"/>
        <w:bottom w:val="none" w:sz="0" w:space="0" w:color="auto"/>
        <w:right w:val="none" w:sz="0" w:space="0" w:color="auto"/>
      </w:divBdr>
    </w:div>
    <w:div w:id="1687167882">
      <w:bodyDiv w:val="1"/>
      <w:marLeft w:val="0"/>
      <w:marRight w:val="0"/>
      <w:marTop w:val="0"/>
      <w:marBottom w:val="0"/>
      <w:divBdr>
        <w:top w:val="none" w:sz="0" w:space="0" w:color="auto"/>
        <w:left w:val="none" w:sz="0" w:space="0" w:color="auto"/>
        <w:bottom w:val="none" w:sz="0" w:space="0" w:color="auto"/>
        <w:right w:val="none" w:sz="0" w:space="0" w:color="auto"/>
      </w:divBdr>
    </w:div>
    <w:div w:id="1691880232">
      <w:bodyDiv w:val="1"/>
      <w:marLeft w:val="0"/>
      <w:marRight w:val="0"/>
      <w:marTop w:val="0"/>
      <w:marBottom w:val="0"/>
      <w:divBdr>
        <w:top w:val="none" w:sz="0" w:space="0" w:color="auto"/>
        <w:left w:val="none" w:sz="0" w:space="0" w:color="auto"/>
        <w:bottom w:val="none" w:sz="0" w:space="0" w:color="auto"/>
        <w:right w:val="none" w:sz="0" w:space="0" w:color="auto"/>
      </w:divBdr>
    </w:div>
    <w:div w:id="1710105041">
      <w:bodyDiv w:val="1"/>
      <w:marLeft w:val="0"/>
      <w:marRight w:val="0"/>
      <w:marTop w:val="0"/>
      <w:marBottom w:val="0"/>
      <w:divBdr>
        <w:top w:val="none" w:sz="0" w:space="0" w:color="auto"/>
        <w:left w:val="none" w:sz="0" w:space="0" w:color="auto"/>
        <w:bottom w:val="none" w:sz="0" w:space="0" w:color="auto"/>
        <w:right w:val="none" w:sz="0" w:space="0" w:color="auto"/>
      </w:divBdr>
    </w:div>
    <w:div w:id="1730497341">
      <w:bodyDiv w:val="1"/>
      <w:marLeft w:val="0"/>
      <w:marRight w:val="0"/>
      <w:marTop w:val="0"/>
      <w:marBottom w:val="0"/>
      <w:divBdr>
        <w:top w:val="none" w:sz="0" w:space="0" w:color="auto"/>
        <w:left w:val="none" w:sz="0" w:space="0" w:color="auto"/>
        <w:bottom w:val="none" w:sz="0" w:space="0" w:color="auto"/>
        <w:right w:val="none" w:sz="0" w:space="0" w:color="auto"/>
      </w:divBdr>
    </w:div>
    <w:div w:id="1746492236">
      <w:bodyDiv w:val="1"/>
      <w:marLeft w:val="0"/>
      <w:marRight w:val="0"/>
      <w:marTop w:val="0"/>
      <w:marBottom w:val="0"/>
      <w:divBdr>
        <w:top w:val="none" w:sz="0" w:space="0" w:color="auto"/>
        <w:left w:val="none" w:sz="0" w:space="0" w:color="auto"/>
        <w:bottom w:val="none" w:sz="0" w:space="0" w:color="auto"/>
        <w:right w:val="none" w:sz="0" w:space="0" w:color="auto"/>
      </w:divBdr>
    </w:div>
    <w:div w:id="1746878796">
      <w:bodyDiv w:val="1"/>
      <w:marLeft w:val="0"/>
      <w:marRight w:val="0"/>
      <w:marTop w:val="0"/>
      <w:marBottom w:val="0"/>
      <w:divBdr>
        <w:top w:val="none" w:sz="0" w:space="0" w:color="auto"/>
        <w:left w:val="none" w:sz="0" w:space="0" w:color="auto"/>
        <w:bottom w:val="none" w:sz="0" w:space="0" w:color="auto"/>
        <w:right w:val="none" w:sz="0" w:space="0" w:color="auto"/>
      </w:divBdr>
      <w:divsChild>
        <w:div w:id="854610562">
          <w:marLeft w:val="0"/>
          <w:marRight w:val="0"/>
          <w:marTop w:val="0"/>
          <w:marBottom w:val="0"/>
          <w:divBdr>
            <w:top w:val="none" w:sz="0" w:space="0" w:color="auto"/>
            <w:left w:val="none" w:sz="0" w:space="0" w:color="auto"/>
            <w:bottom w:val="none" w:sz="0" w:space="0" w:color="auto"/>
            <w:right w:val="none" w:sz="0" w:space="0" w:color="auto"/>
          </w:divBdr>
          <w:divsChild>
            <w:div w:id="173618938">
              <w:marLeft w:val="0"/>
              <w:marRight w:val="0"/>
              <w:marTop w:val="0"/>
              <w:marBottom w:val="0"/>
              <w:divBdr>
                <w:top w:val="none" w:sz="0" w:space="0" w:color="auto"/>
                <w:left w:val="none" w:sz="0" w:space="0" w:color="auto"/>
                <w:bottom w:val="none" w:sz="0" w:space="0" w:color="auto"/>
                <w:right w:val="none" w:sz="0" w:space="0" w:color="auto"/>
              </w:divBdr>
            </w:div>
            <w:div w:id="1653363908">
              <w:marLeft w:val="0"/>
              <w:marRight w:val="0"/>
              <w:marTop w:val="0"/>
              <w:marBottom w:val="0"/>
              <w:divBdr>
                <w:top w:val="none" w:sz="0" w:space="0" w:color="auto"/>
                <w:left w:val="none" w:sz="0" w:space="0" w:color="auto"/>
                <w:bottom w:val="none" w:sz="0" w:space="0" w:color="auto"/>
                <w:right w:val="none" w:sz="0" w:space="0" w:color="auto"/>
              </w:divBdr>
            </w:div>
          </w:divsChild>
        </w:div>
        <w:div w:id="2105610684">
          <w:marLeft w:val="0"/>
          <w:marRight w:val="0"/>
          <w:marTop w:val="0"/>
          <w:marBottom w:val="0"/>
          <w:divBdr>
            <w:top w:val="none" w:sz="0" w:space="0" w:color="auto"/>
            <w:left w:val="none" w:sz="0" w:space="0" w:color="auto"/>
            <w:bottom w:val="none" w:sz="0" w:space="0" w:color="auto"/>
            <w:right w:val="none" w:sz="0" w:space="0" w:color="auto"/>
          </w:divBdr>
          <w:divsChild>
            <w:div w:id="1781414395">
              <w:marLeft w:val="0"/>
              <w:marRight w:val="0"/>
              <w:marTop w:val="0"/>
              <w:marBottom w:val="0"/>
              <w:divBdr>
                <w:top w:val="none" w:sz="0" w:space="0" w:color="auto"/>
                <w:left w:val="none" w:sz="0" w:space="0" w:color="auto"/>
                <w:bottom w:val="none" w:sz="0" w:space="0" w:color="auto"/>
                <w:right w:val="none" w:sz="0" w:space="0" w:color="auto"/>
              </w:divBdr>
            </w:div>
            <w:div w:id="18402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80743">
      <w:bodyDiv w:val="1"/>
      <w:marLeft w:val="0"/>
      <w:marRight w:val="0"/>
      <w:marTop w:val="0"/>
      <w:marBottom w:val="0"/>
      <w:divBdr>
        <w:top w:val="none" w:sz="0" w:space="0" w:color="auto"/>
        <w:left w:val="none" w:sz="0" w:space="0" w:color="auto"/>
        <w:bottom w:val="none" w:sz="0" w:space="0" w:color="auto"/>
        <w:right w:val="none" w:sz="0" w:space="0" w:color="auto"/>
      </w:divBdr>
    </w:div>
    <w:div w:id="1765151007">
      <w:bodyDiv w:val="1"/>
      <w:marLeft w:val="0"/>
      <w:marRight w:val="0"/>
      <w:marTop w:val="0"/>
      <w:marBottom w:val="0"/>
      <w:divBdr>
        <w:top w:val="none" w:sz="0" w:space="0" w:color="auto"/>
        <w:left w:val="none" w:sz="0" w:space="0" w:color="auto"/>
        <w:bottom w:val="none" w:sz="0" w:space="0" w:color="auto"/>
        <w:right w:val="none" w:sz="0" w:space="0" w:color="auto"/>
      </w:divBdr>
    </w:div>
    <w:div w:id="1766531952">
      <w:bodyDiv w:val="1"/>
      <w:marLeft w:val="0"/>
      <w:marRight w:val="0"/>
      <w:marTop w:val="0"/>
      <w:marBottom w:val="0"/>
      <w:divBdr>
        <w:top w:val="none" w:sz="0" w:space="0" w:color="auto"/>
        <w:left w:val="none" w:sz="0" w:space="0" w:color="auto"/>
        <w:bottom w:val="none" w:sz="0" w:space="0" w:color="auto"/>
        <w:right w:val="none" w:sz="0" w:space="0" w:color="auto"/>
      </w:divBdr>
    </w:div>
    <w:div w:id="1767384873">
      <w:bodyDiv w:val="1"/>
      <w:marLeft w:val="0"/>
      <w:marRight w:val="0"/>
      <w:marTop w:val="0"/>
      <w:marBottom w:val="0"/>
      <w:divBdr>
        <w:top w:val="none" w:sz="0" w:space="0" w:color="auto"/>
        <w:left w:val="none" w:sz="0" w:space="0" w:color="auto"/>
        <w:bottom w:val="none" w:sz="0" w:space="0" w:color="auto"/>
        <w:right w:val="none" w:sz="0" w:space="0" w:color="auto"/>
      </w:divBdr>
    </w:div>
    <w:div w:id="1792478301">
      <w:bodyDiv w:val="1"/>
      <w:marLeft w:val="0"/>
      <w:marRight w:val="0"/>
      <w:marTop w:val="0"/>
      <w:marBottom w:val="0"/>
      <w:divBdr>
        <w:top w:val="none" w:sz="0" w:space="0" w:color="auto"/>
        <w:left w:val="none" w:sz="0" w:space="0" w:color="auto"/>
        <w:bottom w:val="none" w:sz="0" w:space="0" w:color="auto"/>
        <w:right w:val="none" w:sz="0" w:space="0" w:color="auto"/>
      </w:divBdr>
    </w:div>
    <w:div w:id="1799910405">
      <w:bodyDiv w:val="1"/>
      <w:marLeft w:val="0"/>
      <w:marRight w:val="0"/>
      <w:marTop w:val="0"/>
      <w:marBottom w:val="0"/>
      <w:divBdr>
        <w:top w:val="none" w:sz="0" w:space="0" w:color="auto"/>
        <w:left w:val="none" w:sz="0" w:space="0" w:color="auto"/>
        <w:bottom w:val="none" w:sz="0" w:space="0" w:color="auto"/>
        <w:right w:val="none" w:sz="0" w:space="0" w:color="auto"/>
      </w:divBdr>
    </w:div>
    <w:div w:id="1821455788">
      <w:bodyDiv w:val="1"/>
      <w:marLeft w:val="0"/>
      <w:marRight w:val="0"/>
      <w:marTop w:val="0"/>
      <w:marBottom w:val="0"/>
      <w:divBdr>
        <w:top w:val="none" w:sz="0" w:space="0" w:color="auto"/>
        <w:left w:val="none" w:sz="0" w:space="0" w:color="auto"/>
        <w:bottom w:val="none" w:sz="0" w:space="0" w:color="auto"/>
        <w:right w:val="none" w:sz="0" w:space="0" w:color="auto"/>
      </w:divBdr>
    </w:div>
    <w:div w:id="1831407881">
      <w:bodyDiv w:val="1"/>
      <w:marLeft w:val="0"/>
      <w:marRight w:val="0"/>
      <w:marTop w:val="0"/>
      <w:marBottom w:val="0"/>
      <w:divBdr>
        <w:top w:val="none" w:sz="0" w:space="0" w:color="auto"/>
        <w:left w:val="none" w:sz="0" w:space="0" w:color="auto"/>
        <w:bottom w:val="none" w:sz="0" w:space="0" w:color="auto"/>
        <w:right w:val="none" w:sz="0" w:space="0" w:color="auto"/>
      </w:divBdr>
    </w:div>
    <w:div w:id="1839614566">
      <w:bodyDiv w:val="1"/>
      <w:marLeft w:val="0"/>
      <w:marRight w:val="0"/>
      <w:marTop w:val="0"/>
      <w:marBottom w:val="0"/>
      <w:divBdr>
        <w:top w:val="none" w:sz="0" w:space="0" w:color="auto"/>
        <w:left w:val="none" w:sz="0" w:space="0" w:color="auto"/>
        <w:bottom w:val="none" w:sz="0" w:space="0" w:color="auto"/>
        <w:right w:val="none" w:sz="0" w:space="0" w:color="auto"/>
      </w:divBdr>
    </w:div>
    <w:div w:id="1843277560">
      <w:bodyDiv w:val="1"/>
      <w:marLeft w:val="0"/>
      <w:marRight w:val="0"/>
      <w:marTop w:val="0"/>
      <w:marBottom w:val="0"/>
      <w:divBdr>
        <w:top w:val="none" w:sz="0" w:space="0" w:color="auto"/>
        <w:left w:val="none" w:sz="0" w:space="0" w:color="auto"/>
        <w:bottom w:val="none" w:sz="0" w:space="0" w:color="auto"/>
        <w:right w:val="none" w:sz="0" w:space="0" w:color="auto"/>
      </w:divBdr>
    </w:div>
    <w:div w:id="1847554380">
      <w:bodyDiv w:val="1"/>
      <w:marLeft w:val="0"/>
      <w:marRight w:val="0"/>
      <w:marTop w:val="0"/>
      <w:marBottom w:val="0"/>
      <w:divBdr>
        <w:top w:val="none" w:sz="0" w:space="0" w:color="auto"/>
        <w:left w:val="none" w:sz="0" w:space="0" w:color="auto"/>
        <w:bottom w:val="none" w:sz="0" w:space="0" w:color="auto"/>
        <w:right w:val="none" w:sz="0" w:space="0" w:color="auto"/>
      </w:divBdr>
    </w:div>
    <w:div w:id="1861777375">
      <w:bodyDiv w:val="1"/>
      <w:marLeft w:val="0"/>
      <w:marRight w:val="0"/>
      <w:marTop w:val="0"/>
      <w:marBottom w:val="0"/>
      <w:divBdr>
        <w:top w:val="none" w:sz="0" w:space="0" w:color="auto"/>
        <w:left w:val="none" w:sz="0" w:space="0" w:color="auto"/>
        <w:bottom w:val="none" w:sz="0" w:space="0" w:color="auto"/>
        <w:right w:val="none" w:sz="0" w:space="0" w:color="auto"/>
      </w:divBdr>
    </w:div>
    <w:div w:id="1864901611">
      <w:bodyDiv w:val="1"/>
      <w:marLeft w:val="0"/>
      <w:marRight w:val="0"/>
      <w:marTop w:val="0"/>
      <w:marBottom w:val="0"/>
      <w:divBdr>
        <w:top w:val="none" w:sz="0" w:space="0" w:color="auto"/>
        <w:left w:val="none" w:sz="0" w:space="0" w:color="auto"/>
        <w:bottom w:val="none" w:sz="0" w:space="0" w:color="auto"/>
        <w:right w:val="none" w:sz="0" w:space="0" w:color="auto"/>
      </w:divBdr>
    </w:div>
    <w:div w:id="1881554260">
      <w:bodyDiv w:val="1"/>
      <w:marLeft w:val="0"/>
      <w:marRight w:val="0"/>
      <w:marTop w:val="0"/>
      <w:marBottom w:val="0"/>
      <w:divBdr>
        <w:top w:val="none" w:sz="0" w:space="0" w:color="auto"/>
        <w:left w:val="none" w:sz="0" w:space="0" w:color="auto"/>
        <w:bottom w:val="none" w:sz="0" w:space="0" w:color="auto"/>
        <w:right w:val="none" w:sz="0" w:space="0" w:color="auto"/>
      </w:divBdr>
    </w:div>
    <w:div w:id="1896818289">
      <w:bodyDiv w:val="1"/>
      <w:marLeft w:val="0"/>
      <w:marRight w:val="0"/>
      <w:marTop w:val="0"/>
      <w:marBottom w:val="0"/>
      <w:divBdr>
        <w:top w:val="none" w:sz="0" w:space="0" w:color="auto"/>
        <w:left w:val="none" w:sz="0" w:space="0" w:color="auto"/>
        <w:bottom w:val="none" w:sz="0" w:space="0" w:color="auto"/>
        <w:right w:val="none" w:sz="0" w:space="0" w:color="auto"/>
      </w:divBdr>
    </w:div>
    <w:div w:id="1906060684">
      <w:bodyDiv w:val="1"/>
      <w:marLeft w:val="0"/>
      <w:marRight w:val="0"/>
      <w:marTop w:val="0"/>
      <w:marBottom w:val="0"/>
      <w:divBdr>
        <w:top w:val="none" w:sz="0" w:space="0" w:color="auto"/>
        <w:left w:val="none" w:sz="0" w:space="0" w:color="auto"/>
        <w:bottom w:val="none" w:sz="0" w:space="0" w:color="auto"/>
        <w:right w:val="none" w:sz="0" w:space="0" w:color="auto"/>
      </w:divBdr>
    </w:div>
    <w:div w:id="1922979373">
      <w:bodyDiv w:val="1"/>
      <w:marLeft w:val="0"/>
      <w:marRight w:val="0"/>
      <w:marTop w:val="0"/>
      <w:marBottom w:val="0"/>
      <w:divBdr>
        <w:top w:val="none" w:sz="0" w:space="0" w:color="auto"/>
        <w:left w:val="none" w:sz="0" w:space="0" w:color="auto"/>
        <w:bottom w:val="none" w:sz="0" w:space="0" w:color="auto"/>
        <w:right w:val="none" w:sz="0" w:space="0" w:color="auto"/>
      </w:divBdr>
    </w:div>
    <w:div w:id="1928223930">
      <w:bodyDiv w:val="1"/>
      <w:marLeft w:val="0"/>
      <w:marRight w:val="0"/>
      <w:marTop w:val="0"/>
      <w:marBottom w:val="0"/>
      <w:divBdr>
        <w:top w:val="none" w:sz="0" w:space="0" w:color="auto"/>
        <w:left w:val="none" w:sz="0" w:space="0" w:color="auto"/>
        <w:bottom w:val="none" w:sz="0" w:space="0" w:color="auto"/>
        <w:right w:val="none" w:sz="0" w:space="0" w:color="auto"/>
      </w:divBdr>
    </w:div>
    <w:div w:id="1930657600">
      <w:bodyDiv w:val="1"/>
      <w:marLeft w:val="0"/>
      <w:marRight w:val="0"/>
      <w:marTop w:val="0"/>
      <w:marBottom w:val="0"/>
      <w:divBdr>
        <w:top w:val="none" w:sz="0" w:space="0" w:color="auto"/>
        <w:left w:val="none" w:sz="0" w:space="0" w:color="auto"/>
        <w:bottom w:val="none" w:sz="0" w:space="0" w:color="auto"/>
        <w:right w:val="none" w:sz="0" w:space="0" w:color="auto"/>
      </w:divBdr>
    </w:div>
    <w:div w:id="1931035952">
      <w:bodyDiv w:val="1"/>
      <w:marLeft w:val="0"/>
      <w:marRight w:val="0"/>
      <w:marTop w:val="0"/>
      <w:marBottom w:val="0"/>
      <w:divBdr>
        <w:top w:val="none" w:sz="0" w:space="0" w:color="auto"/>
        <w:left w:val="none" w:sz="0" w:space="0" w:color="auto"/>
        <w:bottom w:val="none" w:sz="0" w:space="0" w:color="auto"/>
        <w:right w:val="none" w:sz="0" w:space="0" w:color="auto"/>
      </w:divBdr>
    </w:div>
    <w:div w:id="1940941984">
      <w:bodyDiv w:val="1"/>
      <w:marLeft w:val="0"/>
      <w:marRight w:val="0"/>
      <w:marTop w:val="0"/>
      <w:marBottom w:val="0"/>
      <w:divBdr>
        <w:top w:val="none" w:sz="0" w:space="0" w:color="auto"/>
        <w:left w:val="none" w:sz="0" w:space="0" w:color="auto"/>
        <w:bottom w:val="none" w:sz="0" w:space="0" w:color="auto"/>
        <w:right w:val="none" w:sz="0" w:space="0" w:color="auto"/>
      </w:divBdr>
    </w:div>
    <w:div w:id="1947927293">
      <w:bodyDiv w:val="1"/>
      <w:marLeft w:val="0"/>
      <w:marRight w:val="0"/>
      <w:marTop w:val="0"/>
      <w:marBottom w:val="0"/>
      <w:divBdr>
        <w:top w:val="none" w:sz="0" w:space="0" w:color="auto"/>
        <w:left w:val="none" w:sz="0" w:space="0" w:color="auto"/>
        <w:bottom w:val="none" w:sz="0" w:space="0" w:color="auto"/>
        <w:right w:val="none" w:sz="0" w:space="0" w:color="auto"/>
      </w:divBdr>
    </w:div>
    <w:div w:id="1956206737">
      <w:bodyDiv w:val="1"/>
      <w:marLeft w:val="0"/>
      <w:marRight w:val="0"/>
      <w:marTop w:val="0"/>
      <w:marBottom w:val="0"/>
      <w:divBdr>
        <w:top w:val="none" w:sz="0" w:space="0" w:color="auto"/>
        <w:left w:val="none" w:sz="0" w:space="0" w:color="auto"/>
        <w:bottom w:val="none" w:sz="0" w:space="0" w:color="auto"/>
        <w:right w:val="none" w:sz="0" w:space="0" w:color="auto"/>
      </w:divBdr>
    </w:div>
    <w:div w:id="1968662201">
      <w:bodyDiv w:val="1"/>
      <w:marLeft w:val="0"/>
      <w:marRight w:val="0"/>
      <w:marTop w:val="0"/>
      <w:marBottom w:val="0"/>
      <w:divBdr>
        <w:top w:val="none" w:sz="0" w:space="0" w:color="auto"/>
        <w:left w:val="none" w:sz="0" w:space="0" w:color="auto"/>
        <w:bottom w:val="none" w:sz="0" w:space="0" w:color="auto"/>
        <w:right w:val="none" w:sz="0" w:space="0" w:color="auto"/>
      </w:divBdr>
    </w:div>
    <w:div w:id="1976713363">
      <w:bodyDiv w:val="1"/>
      <w:marLeft w:val="0"/>
      <w:marRight w:val="0"/>
      <w:marTop w:val="0"/>
      <w:marBottom w:val="0"/>
      <w:divBdr>
        <w:top w:val="none" w:sz="0" w:space="0" w:color="auto"/>
        <w:left w:val="none" w:sz="0" w:space="0" w:color="auto"/>
        <w:bottom w:val="none" w:sz="0" w:space="0" w:color="auto"/>
        <w:right w:val="none" w:sz="0" w:space="0" w:color="auto"/>
      </w:divBdr>
    </w:div>
    <w:div w:id="1983387559">
      <w:bodyDiv w:val="1"/>
      <w:marLeft w:val="0"/>
      <w:marRight w:val="0"/>
      <w:marTop w:val="0"/>
      <w:marBottom w:val="0"/>
      <w:divBdr>
        <w:top w:val="none" w:sz="0" w:space="0" w:color="auto"/>
        <w:left w:val="none" w:sz="0" w:space="0" w:color="auto"/>
        <w:bottom w:val="none" w:sz="0" w:space="0" w:color="auto"/>
        <w:right w:val="none" w:sz="0" w:space="0" w:color="auto"/>
      </w:divBdr>
    </w:div>
    <w:div w:id="1996182065">
      <w:bodyDiv w:val="1"/>
      <w:marLeft w:val="0"/>
      <w:marRight w:val="0"/>
      <w:marTop w:val="0"/>
      <w:marBottom w:val="0"/>
      <w:divBdr>
        <w:top w:val="none" w:sz="0" w:space="0" w:color="auto"/>
        <w:left w:val="none" w:sz="0" w:space="0" w:color="auto"/>
        <w:bottom w:val="none" w:sz="0" w:space="0" w:color="auto"/>
        <w:right w:val="none" w:sz="0" w:space="0" w:color="auto"/>
      </w:divBdr>
    </w:div>
    <w:div w:id="2007202082">
      <w:bodyDiv w:val="1"/>
      <w:marLeft w:val="0"/>
      <w:marRight w:val="0"/>
      <w:marTop w:val="0"/>
      <w:marBottom w:val="0"/>
      <w:divBdr>
        <w:top w:val="none" w:sz="0" w:space="0" w:color="auto"/>
        <w:left w:val="none" w:sz="0" w:space="0" w:color="auto"/>
        <w:bottom w:val="none" w:sz="0" w:space="0" w:color="auto"/>
        <w:right w:val="none" w:sz="0" w:space="0" w:color="auto"/>
      </w:divBdr>
    </w:div>
    <w:div w:id="2042167360">
      <w:bodyDiv w:val="1"/>
      <w:marLeft w:val="0"/>
      <w:marRight w:val="0"/>
      <w:marTop w:val="0"/>
      <w:marBottom w:val="0"/>
      <w:divBdr>
        <w:top w:val="none" w:sz="0" w:space="0" w:color="auto"/>
        <w:left w:val="none" w:sz="0" w:space="0" w:color="auto"/>
        <w:bottom w:val="none" w:sz="0" w:space="0" w:color="auto"/>
        <w:right w:val="none" w:sz="0" w:space="0" w:color="auto"/>
      </w:divBdr>
      <w:divsChild>
        <w:div w:id="53091661">
          <w:marLeft w:val="547"/>
          <w:marRight w:val="0"/>
          <w:marTop w:val="86"/>
          <w:marBottom w:val="0"/>
          <w:divBdr>
            <w:top w:val="none" w:sz="0" w:space="0" w:color="auto"/>
            <w:left w:val="none" w:sz="0" w:space="0" w:color="auto"/>
            <w:bottom w:val="none" w:sz="0" w:space="0" w:color="auto"/>
            <w:right w:val="none" w:sz="0" w:space="0" w:color="auto"/>
          </w:divBdr>
        </w:div>
        <w:div w:id="1175992364">
          <w:marLeft w:val="547"/>
          <w:marRight w:val="0"/>
          <w:marTop w:val="86"/>
          <w:marBottom w:val="0"/>
          <w:divBdr>
            <w:top w:val="none" w:sz="0" w:space="0" w:color="auto"/>
            <w:left w:val="none" w:sz="0" w:space="0" w:color="auto"/>
            <w:bottom w:val="none" w:sz="0" w:space="0" w:color="auto"/>
            <w:right w:val="none" w:sz="0" w:space="0" w:color="auto"/>
          </w:divBdr>
        </w:div>
      </w:divsChild>
    </w:div>
    <w:div w:id="2049840473">
      <w:bodyDiv w:val="1"/>
      <w:marLeft w:val="0"/>
      <w:marRight w:val="0"/>
      <w:marTop w:val="0"/>
      <w:marBottom w:val="0"/>
      <w:divBdr>
        <w:top w:val="none" w:sz="0" w:space="0" w:color="auto"/>
        <w:left w:val="none" w:sz="0" w:space="0" w:color="auto"/>
        <w:bottom w:val="none" w:sz="0" w:space="0" w:color="auto"/>
        <w:right w:val="none" w:sz="0" w:space="0" w:color="auto"/>
      </w:divBdr>
      <w:divsChild>
        <w:div w:id="868376496">
          <w:marLeft w:val="0"/>
          <w:marRight w:val="0"/>
          <w:marTop w:val="0"/>
          <w:marBottom w:val="0"/>
          <w:divBdr>
            <w:top w:val="none" w:sz="0" w:space="0" w:color="auto"/>
            <w:left w:val="none" w:sz="0" w:space="0" w:color="auto"/>
            <w:bottom w:val="none" w:sz="0" w:space="0" w:color="auto"/>
            <w:right w:val="none" w:sz="0" w:space="0" w:color="auto"/>
          </w:divBdr>
        </w:div>
      </w:divsChild>
    </w:div>
    <w:div w:id="2066022898">
      <w:bodyDiv w:val="1"/>
      <w:marLeft w:val="0"/>
      <w:marRight w:val="0"/>
      <w:marTop w:val="0"/>
      <w:marBottom w:val="0"/>
      <w:divBdr>
        <w:top w:val="none" w:sz="0" w:space="0" w:color="auto"/>
        <w:left w:val="none" w:sz="0" w:space="0" w:color="auto"/>
        <w:bottom w:val="none" w:sz="0" w:space="0" w:color="auto"/>
        <w:right w:val="none" w:sz="0" w:space="0" w:color="auto"/>
      </w:divBdr>
    </w:div>
    <w:div w:id="2090345794">
      <w:bodyDiv w:val="1"/>
      <w:marLeft w:val="0"/>
      <w:marRight w:val="0"/>
      <w:marTop w:val="0"/>
      <w:marBottom w:val="0"/>
      <w:divBdr>
        <w:top w:val="none" w:sz="0" w:space="0" w:color="auto"/>
        <w:left w:val="none" w:sz="0" w:space="0" w:color="auto"/>
        <w:bottom w:val="none" w:sz="0" w:space="0" w:color="auto"/>
        <w:right w:val="none" w:sz="0" w:space="0" w:color="auto"/>
      </w:divBdr>
    </w:div>
    <w:div w:id="2091000019">
      <w:bodyDiv w:val="1"/>
      <w:marLeft w:val="0"/>
      <w:marRight w:val="0"/>
      <w:marTop w:val="0"/>
      <w:marBottom w:val="0"/>
      <w:divBdr>
        <w:top w:val="none" w:sz="0" w:space="0" w:color="auto"/>
        <w:left w:val="none" w:sz="0" w:space="0" w:color="auto"/>
        <w:bottom w:val="none" w:sz="0" w:space="0" w:color="auto"/>
        <w:right w:val="none" w:sz="0" w:space="0" w:color="auto"/>
      </w:divBdr>
    </w:div>
    <w:div w:id="2094348762">
      <w:bodyDiv w:val="1"/>
      <w:marLeft w:val="0"/>
      <w:marRight w:val="0"/>
      <w:marTop w:val="0"/>
      <w:marBottom w:val="0"/>
      <w:divBdr>
        <w:top w:val="none" w:sz="0" w:space="0" w:color="auto"/>
        <w:left w:val="none" w:sz="0" w:space="0" w:color="auto"/>
        <w:bottom w:val="none" w:sz="0" w:space="0" w:color="auto"/>
        <w:right w:val="none" w:sz="0" w:space="0" w:color="auto"/>
      </w:divBdr>
    </w:div>
    <w:div w:id="2109108515">
      <w:bodyDiv w:val="1"/>
      <w:marLeft w:val="0"/>
      <w:marRight w:val="0"/>
      <w:marTop w:val="0"/>
      <w:marBottom w:val="0"/>
      <w:divBdr>
        <w:top w:val="none" w:sz="0" w:space="0" w:color="auto"/>
        <w:left w:val="none" w:sz="0" w:space="0" w:color="auto"/>
        <w:bottom w:val="none" w:sz="0" w:space="0" w:color="auto"/>
        <w:right w:val="none" w:sz="0" w:space="0" w:color="auto"/>
      </w:divBdr>
    </w:div>
    <w:div w:id="2116557479">
      <w:bodyDiv w:val="1"/>
      <w:marLeft w:val="0"/>
      <w:marRight w:val="0"/>
      <w:marTop w:val="0"/>
      <w:marBottom w:val="0"/>
      <w:divBdr>
        <w:top w:val="none" w:sz="0" w:space="0" w:color="auto"/>
        <w:left w:val="none" w:sz="0" w:space="0" w:color="auto"/>
        <w:bottom w:val="none" w:sz="0" w:space="0" w:color="auto"/>
        <w:right w:val="none" w:sz="0" w:space="0" w:color="auto"/>
      </w:divBdr>
    </w:div>
    <w:div w:id="2124227092">
      <w:bodyDiv w:val="1"/>
      <w:marLeft w:val="0"/>
      <w:marRight w:val="0"/>
      <w:marTop w:val="0"/>
      <w:marBottom w:val="0"/>
      <w:divBdr>
        <w:top w:val="none" w:sz="0" w:space="0" w:color="auto"/>
        <w:left w:val="none" w:sz="0" w:space="0" w:color="auto"/>
        <w:bottom w:val="none" w:sz="0" w:space="0" w:color="auto"/>
        <w:right w:val="none" w:sz="0" w:space="0" w:color="auto"/>
      </w:divBdr>
    </w:div>
    <w:div w:id="212437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Del17</b:Tag>
    <b:SourceType>JournalArticle</b:SourceType>
    <b:Guid>{606C4F07-2EC5-4DDB-B82C-A5471EC58A9F}</b:Guid>
    <b:Title>hgjfji,l</b:Title>
    <b:Year>2017</b:Year>
    <b:Author>
      <b:Author>
        <b:NameList>
          <b:Person>
            <b:Last>Deloitte</b:Last>
          </b:Person>
        </b:NameList>
      </b:Author>
    </b:Author>
    <b:JournalName>bnvjhnfjm</b:JournalName>
    <b:Pages>14-50</b:Pages>
    <b:RefOrder>1</b:RefOrder>
  </b:Source>
  <b:Source>
    <b:Tag>Bas14</b:Tag>
    <b:SourceType>Report</b:SourceType>
    <b:Guid>{89015F4E-B64B-4BD9-9B16-FC500636B726}</b:Guid>
    <b:Title>Coeficiente de financiación estable neta</b:Title>
    <b:Year>2019</b:Year>
    <b:Publisher>Banco de Pagos Internacionales</b:Publisher>
    <b:Author>
      <b:Author>
        <b:NameList>
          <b:Person>
            <b:Last>Basilea</b:Last>
          </b:Person>
        </b:NameList>
      </b:Author>
    </b:Author>
    <b:RefOrder>2</b:RefOrder>
  </b:Source>
  <b:Source>
    <b:Tag>Thi20</b:Tag>
    <b:SourceType>BookSection</b:SourceType>
    <b:Guid>{D9913C1F-D032-4449-B98C-8E577258734B}</b:Guid>
    <b:Author>
      <b:Author>
        <b:NameList>
          <b:Person>
            <b:Last>Roncalli</b:Last>
            <b:First>Thierry</b:First>
          </b:Person>
        </b:NameList>
      </b:Author>
      <b:BookAuthor>
        <b:NameList>
          <b:Person>
            <b:Last>Roncalli</b:Last>
            <b:First>Thierry</b:First>
          </b:Person>
        </b:NameList>
      </b:BookAuthor>
    </b:Author>
    <b:Title>Asset Liability Management Risk</b:Title>
    <b:Year>2020</b:Year>
    <b:Publisher>Chapman and Hall/CRC</b:Publisher>
    <b:BookTitle>Financial Risk Management</b:BookTitle>
    <b:RefOrder>3</b:RefOrder>
  </b:Source>
  <b:Source>
    <b:Tag>OSF20</b:Tag>
    <b:SourceType>InternetSite</b:SourceType>
    <b:Guid>{79F6AD5C-2E12-4E18-B446-B9D5B5EB81A1}</b:Guid>
    <b:Title>Interest Rate Risk Management</b:Title>
    <b:Year>2020</b:Year>
    <b:Author>
      <b:Author>
        <b:NameList>
          <b:Person>
            <b:Last>OSFI</b:Last>
          </b:Person>
        </b:NameList>
      </b:Author>
    </b:Author>
    <b:InternetSiteTitle>Office of the Superintendent of Financial Institutions</b:InternetSiteTitle>
    <b:URL>https://www.osfi-bsif.gc.ca/Eng/fi-if/rg-ro/gdn-ort/gl-ld/Pages/b12.aspx#fnb19</b:URL>
    <b:RefOrder>4</b:RefOrder>
  </b:Source>
  <b:Source>
    <b:Tag>Ban18</b:Tag>
    <b:SourceType>Misc</b:SourceType>
    <b:Guid>{B1C44F8F-3026-4A68-9543-D05823364009}</b:Guid>
    <b:Author>
      <b:Author>
        <b:NameList>
          <b:Person>
            <b:Last>Brasil</b:Last>
            <b:First>Banco</b:First>
            <b:Middle>Central do</b:Middle>
          </b:Person>
        </b:NameList>
      </b:Author>
    </b:Author>
    <b:Title>Circular nº 3.876</b:Title>
    <b:Year>2018</b:Year>
    <b:Month>Enero</b:Month>
    <b:Day>31</b:Day>
    <b:City>Rio de janeiro</b:City>
    <b:RefOrder>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213094143C765B44B89BCC3282544AC3" ma:contentTypeVersion="4" ma:contentTypeDescription="Create a new document." ma:contentTypeScope="" ma:versionID="b96bcdf7173e3362b2d0aa652a23937b">
  <xsd:schema xmlns:xsd="http://www.w3.org/2001/XMLSchema" xmlns:xs="http://www.w3.org/2001/XMLSchema" xmlns:p="http://schemas.microsoft.com/office/2006/metadata/properties" xmlns:ns2="acdc465a-affe-4a61-bb62-eb4220fd791b" xmlns:ns3="b4651e78-4b39-4296-92ae-7433e033e15c" targetNamespace="http://schemas.microsoft.com/office/2006/metadata/properties" ma:root="true" ma:fieldsID="767150414e41ed366cb7312abfe5d520" ns2:_="" ns3:_="">
    <xsd:import namespace="acdc465a-affe-4a61-bb62-eb4220fd791b"/>
    <xsd:import namespace="b4651e78-4b39-4296-92ae-7433e033e1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c465a-affe-4a61-bb62-eb4220fd79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651e78-4b39-4296-92ae-7433e033e1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5D6686-D693-4294-94DB-C38BDB3CCA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1256F3-6808-4F99-B9EB-DBED335D7649}">
  <ds:schemaRefs>
    <ds:schemaRef ds:uri="http://schemas.openxmlformats.org/officeDocument/2006/bibliography"/>
  </ds:schemaRefs>
</ds:datastoreItem>
</file>

<file path=customXml/itemProps3.xml><?xml version="1.0" encoding="utf-8"?>
<ds:datastoreItem xmlns:ds="http://schemas.openxmlformats.org/officeDocument/2006/customXml" ds:itemID="{5B732A05-933E-4A63-902C-681BB6761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c465a-affe-4a61-bb62-eb4220fd791b"/>
    <ds:schemaRef ds:uri="b4651e78-4b39-4296-92ae-7433e033e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6D5F25-8F64-4C49-93C9-E0FC50C227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6292</Words>
  <Characters>34611</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cp:lastModifiedBy>
  <cp:revision>66</cp:revision>
  <cp:lastPrinted>2022-03-08T12:15:00Z</cp:lastPrinted>
  <dcterms:created xsi:type="dcterms:W3CDTF">2022-03-10T23:50:00Z</dcterms:created>
  <dcterms:modified xsi:type="dcterms:W3CDTF">2022-03-15T14:44:00Z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0x010100213094143C765B44B89BCC3282544AC3</vt:lpwstr>
  </property>
</Properties>
</file>